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CEA5" w14:textId="77777777" w:rsidR="00964FAB" w:rsidRDefault="00964FAB" w:rsidP="00893BDC">
      <w:pPr>
        <w:ind w:left="720" w:hanging="360"/>
        <w:jc w:val="right"/>
        <w:rPr>
          <w:sz w:val="32"/>
          <w:szCs w:val="32"/>
        </w:rPr>
      </w:pPr>
    </w:p>
    <w:p w14:paraId="0947BA74" w14:textId="77777777" w:rsidR="00964FAB" w:rsidRDefault="00964FAB" w:rsidP="00893BDC">
      <w:pPr>
        <w:ind w:left="720" w:hanging="360"/>
        <w:jc w:val="right"/>
        <w:rPr>
          <w:sz w:val="32"/>
          <w:szCs w:val="32"/>
        </w:rPr>
      </w:pPr>
    </w:p>
    <w:p w14:paraId="7DE0B8D9" w14:textId="37386356" w:rsidR="00893BDC" w:rsidRPr="00BA45F8" w:rsidRDefault="00893BDC" w:rsidP="00893BDC">
      <w:pPr>
        <w:ind w:left="720" w:hanging="360"/>
        <w:jc w:val="right"/>
        <w:rPr>
          <w:sz w:val="40"/>
          <w:szCs w:val="40"/>
        </w:rPr>
      </w:pPr>
      <w:r w:rsidRPr="00BA45F8">
        <w:rPr>
          <w:sz w:val="40"/>
          <w:szCs w:val="40"/>
        </w:rPr>
        <w:t>British Ceramics Biennial</w:t>
      </w:r>
    </w:p>
    <w:p w14:paraId="6C92FB0F" w14:textId="4FA626F0" w:rsidR="00893BDC" w:rsidRPr="00BA45F8" w:rsidRDefault="00893BDC" w:rsidP="00893BDC">
      <w:pPr>
        <w:ind w:left="720" w:hanging="360"/>
        <w:jc w:val="right"/>
        <w:rPr>
          <w:sz w:val="40"/>
          <w:szCs w:val="40"/>
        </w:rPr>
      </w:pPr>
      <w:r w:rsidRPr="00BA45F8">
        <w:rPr>
          <w:sz w:val="40"/>
          <w:szCs w:val="40"/>
        </w:rPr>
        <w:t xml:space="preserve">Artistic </w:t>
      </w:r>
      <w:r w:rsidR="00BA45F8" w:rsidRPr="00BA45F8">
        <w:rPr>
          <w:sz w:val="40"/>
          <w:szCs w:val="40"/>
        </w:rPr>
        <w:t>Quality Assessment</w:t>
      </w:r>
    </w:p>
    <w:p w14:paraId="77F1CC65" w14:textId="77777777" w:rsidR="00893BDC" w:rsidRPr="00BA45F8" w:rsidRDefault="00893BDC" w:rsidP="00893BDC">
      <w:pPr>
        <w:ind w:left="720" w:hanging="360"/>
        <w:jc w:val="right"/>
        <w:rPr>
          <w:sz w:val="40"/>
          <w:szCs w:val="40"/>
        </w:rPr>
      </w:pPr>
      <w:r w:rsidRPr="00BA45F8">
        <w:rPr>
          <w:sz w:val="40"/>
          <w:szCs w:val="40"/>
        </w:rPr>
        <w:t xml:space="preserve">Katy West </w:t>
      </w:r>
    </w:p>
    <w:p w14:paraId="2C18D3B3" w14:textId="0738C56B" w:rsidR="00893BDC" w:rsidRPr="00BA45F8" w:rsidRDefault="00893BDC" w:rsidP="00893BDC">
      <w:pPr>
        <w:ind w:left="720" w:hanging="360"/>
        <w:jc w:val="right"/>
        <w:rPr>
          <w:sz w:val="40"/>
          <w:szCs w:val="40"/>
        </w:rPr>
      </w:pPr>
      <w:r w:rsidRPr="00BA45F8">
        <w:rPr>
          <w:sz w:val="40"/>
          <w:szCs w:val="40"/>
        </w:rPr>
        <w:t>October 2025</w:t>
      </w:r>
    </w:p>
    <w:p w14:paraId="439ABD0D" w14:textId="77777777" w:rsidR="00893BDC" w:rsidRDefault="00893BDC" w:rsidP="00893BDC">
      <w:pPr>
        <w:pStyle w:val="ListParagraph"/>
        <w:rPr>
          <w:rFonts w:ascii="Aptos Light" w:hAnsi="Aptos Light"/>
          <w:sz w:val="22"/>
          <w:szCs w:val="22"/>
          <w:lang w:eastAsia="en-GB"/>
        </w:rPr>
      </w:pPr>
    </w:p>
    <w:p w14:paraId="338BE070" w14:textId="77777777" w:rsidR="00893BDC" w:rsidRDefault="00893BDC" w:rsidP="00893BDC">
      <w:pPr>
        <w:pStyle w:val="ListParagraph"/>
        <w:rPr>
          <w:rFonts w:ascii="Aptos Light" w:hAnsi="Aptos Light"/>
          <w:sz w:val="22"/>
          <w:szCs w:val="22"/>
          <w:lang w:eastAsia="en-GB"/>
        </w:rPr>
      </w:pPr>
    </w:p>
    <w:p w14:paraId="78D84827" w14:textId="77777777" w:rsidR="00964FAB" w:rsidRDefault="00964FAB" w:rsidP="00893BDC">
      <w:pPr>
        <w:pStyle w:val="ListParagraph"/>
        <w:rPr>
          <w:rFonts w:ascii="Aptos Light" w:hAnsi="Aptos Light"/>
          <w:sz w:val="22"/>
          <w:szCs w:val="22"/>
          <w:lang w:eastAsia="en-GB"/>
        </w:rPr>
      </w:pPr>
    </w:p>
    <w:p w14:paraId="01B1A8A5" w14:textId="77777777" w:rsidR="00964FAB" w:rsidRDefault="00964FAB" w:rsidP="00893BDC">
      <w:pPr>
        <w:pStyle w:val="ListParagraph"/>
        <w:rPr>
          <w:rFonts w:ascii="Aptos Light" w:hAnsi="Aptos Light"/>
          <w:sz w:val="22"/>
          <w:szCs w:val="22"/>
          <w:lang w:eastAsia="en-GB"/>
        </w:rPr>
      </w:pPr>
    </w:p>
    <w:p w14:paraId="5BE3F5FC" w14:textId="77777777" w:rsidR="00964FAB" w:rsidRDefault="00964FAB" w:rsidP="00893BDC">
      <w:pPr>
        <w:pStyle w:val="ListParagraph"/>
        <w:rPr>
          <w:rFonts w:ascii="Aptos Light" w:hAnsi="Aptos Light"/>
          <w:sz w:val="22"/>
          <w:szCs w:val="22"/>
          <w:lang w:eastAsia="en-GB"/>
        </w:rPr>
      </w:pPr>
    </w:p>
    <w:p w14:paraId="3C7B0FB5" w14:textId="77777777" w:rsidR="00964FAB" w:rsidRDefault="00964FAB" w:rsidP="00893BDC">
      <w:pPr>
        <w:pStyle w:val="ListParagraph"/>
        <w:rPr>
          <w:rFonts w:ascii="Aptos Light" w:hAnsi="Aptos Light"/>
          <w:sz w:val="22"/>
          <w:szCs w:val="22"/>
          <w:lang w:eastAsia="en-GB"/>
        </w:rPr>
      </w:pPr>
    </w:p>
    <w:p w14:paraId="76AC88AA" w14:textId="77777777" w:rsidR="00893BDC" w:rsidRDefault="00893BDC" w:rsidP="00893BDC">
      <w:pPr>
        <w:pStyle w:val="ListParagraph"/>
        <w:rPr>
          <w:rFonts w:ascii="Aptos Light" w:hAnsi="Aptos Light"/>
          <w:sz w:val="22"/>
          <w:szCs w:val="22"/>
          <w:lang w:eastAsia="en-GB"/>
        </w:rPr>
      </w:pPr>
    </w:p>
    <w:p w14:paraId="3076F4C7" w14:textId="77777777" w:rsidR="00893BDC" w:rsidRPr="001754A6" w:rsidRDefault="00893BDC" w:rsidP="00893BDC">
      <w:pPr>
        <w:rPr>
          <w:rFonts w:ascii="Aptos Light" w:hAnsi="Aptos Light"/>
          <w:b/>
          <w:bCs/>
          <w:sz w:val="22"/>
          <w:szCs w:val="22"/>
          <w:lang w:eastAsia="en-GB"/>
        </w:rPr>
      </w:pPr>
    </w:p>
    <w:p w14:paraId="17187771" w14:textId="5403CA5B" w:rsidR="00A31535" w:rsidRPr="001754A6" w:rsidRDefault="00A31535" w:rsidP="00417963">
      <w:pPr>
        <w:pStyle w:val="ListParagraph"/>
        <w:numPr>
          <w:ilvl w:val="0"/>
          <w:numId w:val="3"/>
        </w:numPr>
        <w:rPr>
          <w:rFonts w:ascii="Aptos Light" w:hAnsi="Aptos Light"/>
          <w:b/>
          <w:bCs/>
          <w:sz w:val="22"/>
          <w:szCs w:val="22"/>
          <w:lang w:eastAsia="en-GB"/>
        </w:rPr>
      </w:pPr>
      <w:r w:rsidRPr="001754A6">
        <w:rPr>
          <w:rFonts w:ascii="Aptos Light" w:hAnsi="Aptos Light"/>
          <w:b/>
          <w:bCs/>
          <w:sz w:val="22"/>
          <w:szCs w:val="22"/>
          <w:lang w:eastAsia="en-GB"/>
        </w:rPr>
        <w:t>The Quality of the Ideas and Works Presented within BCB 2025</w:t>
      </w:r>
    </w:p>
    <w:p w14:paraId="2CDBD951" w14:textId="77777777" w:rsidR="00417963" w:rsidRPr="00417963" w:rsidRDefault="00417963" w:rsidP="00417963">
      <w:pPr>
        <w:pStyle w:val="ListParagraph"/>
        <w:rPr>
          <w:rFonts w:ascii="Aptos Light" w:hAnsi="Aptos Light"/>
          <w:sz w:val="22"/>
          <w:szCs w:val="22"/>
          <w:lang w:eastAsia="en-GB"/>
        </w:rPr>
      </w:pPr>
    </w:p>
    <w:p w14:paraId="0ACFD063" w14:textId="52FEE48C" w:rsidR="00417963" w:rsidRDefault="006A033B" w:rsidP="00417963">
      <w:pPr>
        <w:rPr>
          <w:rFonts w:ascii="Aptos Light" w:hAnsi="Aptos Light"/>
          <w:sz w:val="22"/>
          <w:szCs w:val="22"/>
          <w:lang w:eastAsia="en-GB"/>
        </w:rPr>
      </w:pPr>
      <w:r w:rsidRPr="00417963">
        <w:rPr>
          <w:rFonts w:ascii="Aptos Light" w:hAnsi="Aptos Light"/>
          <w:sz w:val="22"/>
          <w:szCs w:val="22"/>
          <w:lang w:eastAsia="en-GB"/>
        </w:rPr>
        <w:t xml:space="preserve">The </w:t>
      </w:r>
      <w:r w:rsidR="00BA45F8">
        <w:rPr>
          <w:rFonts w:ascii="Aptos Light" w:hAnsi="Aptos Light"/>
          <w:sz w:val="22"/>
          <w:szCs w:val="22"/>
          <w:lang w:eastAsia="en-GB"/>
        </w:rPr>
        <w:t>British Ceramics Biennial (</w:t>
      </w:r>
      <w:r w:rsidRPr="00417963">
        <w:rPr>
          <w:rFonts w:ascii="Aptos Light" w:hAnsi="Aptos Light"/>
          <w:sz w:val="22"/>
          <w:szCs w:val="22"/>
          <w:lang w:eastAsia="en-GB"/>
        </w:rPr>
        <w:t>BCB</w:t>
      </w:r>
      <w:r w:rsidR="00BA45F8">
        <w:rPr>
          <w:rFonts w:ascii="Aptos Light" w:hAnsi="Aptos Light"/>
          <w:sz w:val="22"/>
          <w:szCs w:val="22"/>
          <w:lang w:eastAsia="en-GB"/>
        </w:rPr>
        <w:t>)</w:t>
      </w:r>
      <w:r w:rsidRPr="00417963">
        <w:rPr>
          <w:rFonts w:ascii="Aptos Light" w:hAnsi="Aptos Light"/>
          <w:sz w:val="22"/>
          <w:szCs w:val="22"/>
          <w:lang w:eastAsia="en-GB"/>
        </w:rPr>
        <w:t xml:space="preserve"> 2025 was presented across a single</w:t>
      </w:r>
      <w:r w:rsidR="000808CB" w:rsidRPr="00417963">
        <w:rPr>
          <w:rFonts w:ascii="Aptos Light" w:hAnsi="Aptos Light"/>
          <w:sz w:val="22"/>
          <w:szCs w:val="22"/>
          <w:lang w:eastAsia="en-GB"/>
        </w:rPr>
        <w:t>,</w:t>
      </w:r>
      <w:r w:rsidRPr="00417963">
        <w:rPr>
          <w:rFonts w:ascii="Aptos Light" w:hAnsi="Aptos Light"/>
          <w:sz w:val="22"/>
          <w:szCs w:val="22"/>
          <w:lang w:eastAsia="en-GB"/>
        </w:rPr>
        <w:t xml:space="preserve"> multi-venue site at the old Spode Factory. This made it possible for visitors to experience the full programme in one day and helped present the British Ceramics Biennial as a cohesive and unified event.</w:t>
      </w:r>
    </w:p>
    <w:p w14:paraId="4B8C3385" w14:textId="77777777" w:rsidR="00964FAB" w:rsidRDefault="00964FAB" w:rsidP="00417963">
      <w:pPr>
        <w:rPr>
          <w:rFonts w:ascii="Aptos Light" w:hAnsi="Aptos Light"/>
          <w:sz w:val="22"/>
          <w:szCs w:val="22"/>
          <w:lang w:eastAsia="en-GB"/>
        </w:rPr>
      </w:pPr>
    </w:p>
    <w:p w14:paraId="14055CB9" w14:textId="286376C3" w:rsidR="006A033B" w:rsidRPr="00417963" w:rsidRDefault="006A033B" w:rsidP="00417963">
      <w:pPr>
        <w:rPr>
          <w:rFonts w:ascii="Aptos Light" w:hAnsi="Aptos Light"/>
          <w:sz w:val="22"/>
          <w:szCs w:val="22"/>
          <w:lang w:eastAsia="en-GB"/>
        </w:rPr>
      </w:pPr>
      <w:r w:rsidRPr="00417963">
        <w:rPr>
          <w:rFonts w:ascii="Aptos Light" w:hAnsi="Aptos Light"/>
          <w:sz w:val="22"/>
          <w:szCs w:val="22"/>
          <w:lang w:eastAsia="en-GB"/>
        </w:rPr>
        <w:t>The main exhibitions included:</w:t>
      </w:r>
    </w:p>
    <w:p w14:paraId="2CC2F42F"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Award 25</w:t>
      </w:r>
    </w:p>
    <w:p w14:paraId="4E1E73C8"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Rare Earth Rising</w:t>
      </w:r>
    </w:p>
    <w:p w14:paraId="014CAF27"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Fresh 25</w:t>
      </w:r>
    </w:p>
    <w:p w14:paraId="75E8296E"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Fresh Talent</w:t>
      </w:r>
    </w:p>
    <w:p w14:paraId="668A5EFD"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Ceramic Cities Exchange</w:t>
      </w:r>
    </w:p>
    <w:p w14:paraId="656B0938"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The Chimney Princess</w:t>
      </w:r>
    </w:p>
    <w:p w14:paraId="564D861B"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Raverina’s Dance Floor</w:t>
      </w:r>
    </w:p>
    <w:p w14:paraId="771E8EB3"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Just Be There</w:t>
      </w:r>
    </w:p>
    <w:p w14:paraId="6A556183"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Sweet Terrain</w:t>
      </w:r>
    </w:p>
    <w:p w14:paraId="688ABB6D"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Clay Films</w:t>
      </w:r>
    </w:p>
    <w:p w14:paraId="2D452076"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University of Staffordshire</w:t>
      </w:r>
    </w:p>
    <w:p w14:paraId="4FFB1CDE"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Slip Tales</w:t>
      </w:r>
    </w:p>
    <w:p w14:paraId="6F8F4DDB" w14:textId="77777777" w:rsidR="006A033B" w:rsidRPr="00417963"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Playscape</w:t>
      </w:r>
    </w:p>
    <w:p w14:paraId="67AAC943" w14:textId="77777777" w:rsidR="006A033B" w:rsidRDefault="006A033B" w:rsidP="00417963">
      <w:pPr>
        <w:pStyle w:val="ListParagraph"/>
        <w:numPr>
          <w:ilvl w:val="0"/>
          <w:numId w:val="4"/>
        </w:numPr>
        <w:rPr>
          <w:rFonts w:ascii="Aptos Light" w:hAnsi="Aptos Light"/>
          <w:sz w:val="22"/>
          <w:szCs w:val="22"/>
          <w:lang w:eastAsia="en-GB"/>
        </w:rPr>
      </w:pPr>
      <w:r w:rsidRPr="00417963">
        <w:rPr>
          <w:rFonts w:ascii="Aptos Light" w:hAnsi="Aptos Light"/>
          <w:sz w:val="22"/>
          <w:szCs w:val="22"/>
          <w:lang w:eastAsia="en-GB"/>
        </w:rPr>
        <w:t>Playscape Project Space</w:t>
      </w:r>
    </w:p>
    <w:p w14:paraId="5A209B54" w14:textId="77777777" w:rsidR="00417963" w:rsidRDefault="00417963" w:rsidP="00417963">
      <w:pPr>
        <w:rPr>
          <w:rFonts w:ascii="Aptos Light" w:hAnsi="Aptos Light"/>
          <w:sz w:val="22"/>
          <w:szCs w:val="22"/>
          <w:lang w:eastAsia="en-GB"/>
        </w:rPr>
      </w:pPr>
    </w:p>
    <w:p w14:paraId="7864A349" w14:textId="39C1C7F4" w:rsidR="00417963" w:rsidRDefault="00417963" w:rsidP="00417963">
      <w:pPr>
        <w:rPr>
          <w:rFonts w:ascii="Aptos Light" w:hAnsi="Aptos Light"/>
          <w:sz w:val="22"/>
          <w:szCs w:val="22"/>
          <w:lang w:eastAsia="en-GB"/>
        </w:rPr>
      </w:pPr>
      <w:r w:rsidRPr="00417963">
        <w:rPr>
          <w:rFonts w:ascii="Aptos Light" w:hAnsi="Aptos Light"/>
          <w:sz w:val="22"/>
          <w:szCs w:val="22"/>
          <w:lang w:eastAsia="en-GB"/>
        </w:rPr>
        <w:t>The overall quality of work throughout the festival was exceptionally high. In particular, the standard within Fresh 25 and Fresh Talent was comparable to the Award exhibition, reflecting the strength and vibrancy of contemporary ceramics in the UK today. This consistency made for an inspiring and rewarding visitor experience across the Biennial.</w:t>
      </w:r>
    </w:p>
    <w:p w14:paraId="37457D9C" w14:textId="77777777" w:rsidR="00417963" w:rsidRPr="00417963" w:rsidRDefault="00417963" w:rsidP="00417963">
      <w:pPr>
        <w:rPr>
          <w:rFonts w:ascii="Aptos Light" w:hAnsi="Aptos Light"/>
          <w:sz w:val="22"/>
          <w:szCs w:val="22"/>
          <w:lang w:eastAsia="en-GB"/>
        </w:rPr>
      </w:pPr>
    </w:p>
    <w:p w14:paraId="47D9294C" w14:textId="77777777" w:rsidR="00417963" w:rsidRDefault="00417963" w:rsidP="00417963">
      <w:pPr>
        <w:rPr>
          <w:rFonts w:ascii="Aptos Light" w:hAnsi="Aptos Light"/>
          <w:sz w:val="22"/>
          <w:szCs w:val="22"/>
          <w:lang w:eastAsia="en-GB"/>
        </w:rPr>
      </w:pPr>
      <w:r w:rsidRPr="00417963">
        <w:rPr>
          <w:rFonts w:ascii="Aptos Light" w:hAnsi="Aptos Light"/>
          <w:sz w:val="22"/>
          <w:szCs w:val="22"/>
          <w:lang w:eastAsia="en-GB"/>
        </w:rPr>
        <w:t>It was refreshing to see artists who engage with clay as one element of their wider practice presented alongside makers whose work is dedicated entirely to ceramics. This mix of visual artists and ceramicists demonstrates BCB’s commitment to supporting and promoting the full breadth of creative practitioners working with clay. Such an inclusive curatorial stance strengthens the discipline by encouraging wider dialogue across craft, design, fine art, and innovation.</w:t>
      </w:r>
    </w:p>
    <w:p w14:paraId="49A75956" w14:textId="77777777" w:rsidR="00417963" w:rsidRPr="00417963" w:rsidRDefault="00417963" w:rsidP="00417963">
      <w:pPr>
        <w:rPr>
          <w:rFonts w:ascii="Aptos Light" w:hAnsi="Aptos Light"/>
          <w:sz w:val="22"/>
          <w:szCs w:val="22"/>
          <w:lang w:eastAsia="en-GB"/>
        </w:rPr>
      </w:pPr>
    </w:p>
    <w:p w14:paraId="71121329" w14:textId="77777777" w:rsidR="00417963" w:rsidRDefault="00417963" w:rsidP="00417963">
      <w:pPr>
        <w:rPr>
          <w:rFonts w:ascii="Aptos Light" w:hAnsi="Aptos Light"/>
          <w:sz w:val="22"/>
          <w:szCs w:val="22"/>
          <w:lang w:eastAsia="en-GB"/>
        </w:rPr>
      </w:pPr>
      <w:r w:rsidRPr="00417963">
        <w:rPr>
          <w:rFonts w:ascii="Aptos Light" w:hAnsi="Aptos Light"/>
          <w:sz w:val="22"/>
          <w:szCs w:val="22"/>
          <w:lang w:eastAsia="en-GB"/>
        </w:rPr>
        <w:lastRenderedPageBreak/>
        <w:t xml:space="preserve">The festival effectively combined large-scale group exhibitions (Award, Fresh, Fresh Talent, Staffordshire University) with a range of individual presentations (The Chimney Princess, </w:t>
      </w:r>
      <w:proofErr w:type="spellStart"/>
      <w:r w:rsidRPr="00417963">
        <w:rPr>
          <w:rFonts w:ascii="Aptos Light" w:hAnsi="Aptos Light"/>
          <w:sz w:val="22"/>
          <w:szCs w:val="22"/>
          <w:lang w:eastAsia="en-GB"/>
        </w:rPr>
        <w:t>Raverina’s</w:t>
      </w:r>
      <w:proofErr w:type="spellEnd"/>
      <w:r w:rsidRPr="00417963">
        <w:rPr>
          <w:rFonts w:ascii="Aptos Light" w:hAnsi="Aptos Light"/>
          <w:sz w:val="22"/>
          <w:szCs w:val="22"/>
          <w:lang w:eastAsia="en-GB"/>
        </w:rPr>
        <w:t xml:space="preserve"> Dance Floor, Just Be There, Sweet Terrain). This balance allowed the Biennial to represent the diversity of contemporary approaches to clay today.</w:t>
      </w:r>
    </w:p>
    <w:p w14:paraId="0E15BB5B" w14:textId="77777777" w:rsidR="00417963" w:rsidRPr="00417963" w:rsidRDefault="00417963" w:rsidP="00417963">
      <w:pPr>
        <w:rPr>
          <w:rFonts w:ascii="Aptos Light" w:hAnsi="Aptos Light"/>
          <w:sz w:val="22"/>
          <w:szCs w:val="22"/>
          <w:lang w:eastAsia="en-GB"/>
        </w:rPr>
      </w:pPr>
    </w:p>
    <w:p w14:paraId="5D7601D5" w14:textId="77777777" w:rsidR="00417963" w:rsidRDefault="00417963" w:rsidP="00417963">
      <w:pPr>
        <w:rPr>
          <w:rFonts w:ascii="Aptos Light" w:hAnsi="Aptos Light"/>
          <w:sz w:val="22"/>
          <w:szCs w:val="22"/>
          <w:lang w:eastAsia="en-GB"/>
        </w:rPr>
      </w:pPr>
      <w:r w:rsidRPr="00417963">
        <w:rPr>
          <w:rFonts w:ascii="Aptos Light" w:hAnsi="Aptos Light"/>
          <w:sz w:val="22"/>
          <w:szCs w:val="22"/>
          <w:lang w:eastAsia="en-GB"/>
        </w:rPr>
        <w:t xml:space="preserve">While the variety was engaging, at times the presentation felt overwhelming and occasionally disjointed. This was partly due to the spatial layout: Space A was large and sparsely populated, whereas Space C housed both the survey of new talent and many of the individual presentations. This created a sense of overcrowding that affected visitor flow and the ability to focus on each project. A more considered zoning of exhibitions could enhance visitor experience. For instance, last year’s Award winner, Mella Shaw, presented work in a standalone space. This might have been more effective within the Award exhibition itself, reinforcing the continuity between past and current winners. Relocating such work could also have freed up other areas for projects like Clay Films or </w:t>
      </w:r>
      <w:proofErr w:type="spellStart"/>
      <w:r w:rsidRPr="00417963">
        <w:rPr>
          <w:rFonts w:ascii="Aptos Light" w:hAnsi="Aptos Light"/>
          <w:sz w:val="22"/>
          <w:szCs w:val="22"/>
          <w:lang w:eastAsia="en-GB"/>
        </w:rPr>
        <w:t>Raverina’s</w:t>
      </w:r>
      <w:proofErr w:type="spellEnd"/>
      <w:r w:rsidRPr="00417963">
        <w:rPr>
          <w:rFonts w:ascii="Aptos Light" w:hAnsi="Aptos Light"/>
          <w:sz w:val="22"/>
          <w:szCs w:val="22"/>
          <w:lang w:eastAsia="en-GB"/>
        </w:rPr>
        <w:t xml:space="preserve"> Dance Floor, creating a more balanced overall layout.</w:t>
      </w:r>
    </w:p>
    <w:p w14:paraId="7BDA6756" w14:textId="77777777" w:rsidR="00417963" w:rsidRPr="00417963" w:rsidRDefault="00417963" w:rsidP="00417963">
      <w:pPr>
        <w:rPr>
          <w:rFonts w:ascii="Aptos Light" w:hAnsi="Aptos Light"/>
          <w:sz w:val="22"/>
          <w:szCs w:val="22"/>
          <w:lang w:eastAsia="en-GB"/>
        </w:rPr>
      </w:pPr>
    </w:p>
    <w:p w14:paraId="13311E79" w14:textId="77777777" w:rsidR="00417963" w:rsidRDefault="00417963" w:rsidP="00417963">
      <w:pPr>
        <w:rPr>
          <w:rFonts w:ascii="Aptos Light" w:hAnsi="Aptos Light"/>
          <w:sz w:val="22"/>
          <w:szCs w:val="22"/>
          <w:lang w:eastAsia="en-GB"/>
        </w:rPr>
      </w:pPr>
      <w:r w:rsidRPr="00417963">
        <w:rPr>
          <w:rFonts w:ascii="Aptos Light" w:hAnsi="Aptos Light"/>
          <w:sz w:val="22"/>
          <w:szCs w:val="22"/>
          <w:lang w:eastAsia="en-GB"/>
        </w:rPr>
        <w:t>Across the festival, there were many strong and conceptually rich works, with clear cross-cutting themes and shared concerns emerging among artists. However, there appeared to be a missed opportunity to draw out and articulate these common threads more explicitly.</w:t>
      </w:r>
    </w:p>
    <w:p w14:paraId="290B04C9" w14:textId="77777777" w:rsidR="002E22F2" w:rsidRPr="00417963" w:rsidRDefault="002E22F2" w:rsidP="00417963">
      <w:pPr>
        <w:rPr>
          <w:rFonts w:ascii="Aptos Light" w:hAnsi="Aptos Light"/>
          <w:sz w:val="22"/>
          <w:szCs w:val="22"/>
          <w:lang w:eastAsia="en-GB"/>
        </w:rPr>
      </w:pPr>
    </w:p>
    <w:p w14:paraId="5E6AD67B" w14:textId="77777777" w:rsidR="00417963" w:rsidRPr="00417963" w:rsidRDefault="00417963" w:rsidP="00417963">
      <w:pPr>
        <w:rPr>
          <w:rFonts w:ascii="Aptos Light" w:hAnsi="Aptos Light"/>
          <w:b/>
          <w:bCs/>
          <w:sz w:val="22"/>
          <w:szCs w:val="22"/>
          <w:lang w:eastAsia="en-GB"/>
        </w:rPr>
      </w:pPr>
      <w:r w:rsidRPr="00417963">
        <w:rPr>
          <w:rFonts w:ascii="Aptos Light" w:hAnsi="Aptos Light"/>
          <w:b/>
          <w:bCs/>
          <w:sz w:val="22"/>
          <w:szCs w:val="22"/>
          <w:lang w:eastAsia="en-GB"/>
        </w:rPr>
        <w:t>Recurring Themes</w:t>
      </w:r>
    </w:p>
    <w:p w14:paraId="3F56EEDA" w14:textId="77777777" w:rsidR="00417963" w:rsidRDefault="00417963" w:rsidP="00417963">
      <w:pPr>
        <w:rPr>
          <w:rFonts w:ascii="Aptos Light" w:hAnsi="Aptos Light"/>
          <w:b/>
          <w:bCs/>
          <w:sz w:val="22"/>
          <w:szCs w:val="22"/>
          <w:lang w:eastAsia="en-GB"/>
        </w:rPr>
      </w:pPr>
    </w:p>
    <w:p w14:paraId="146C9D02" w14:textId="394C5E98" w:rsidR="00417963" w:rsidRDefault="00417963" w:rsidP="00417963">
      <w:pPr>
        <w:rPr>
          <w:rFonts w:ascii="Aptos Light" w:hAnsi="Aptos Light"/>
          <w:sz w:val="22"/>
          <w:szCs w:val="22"/>
          <w:lang w:eastAsia="en-GB"/>
        </w:rPr>
      </w:pPr>
      <w:r w:rsidRPr="00417963">
        <w:rPr>
          <w:rFonts w:ascii="Aptos Light" w:hAnsi="Aptos Light"/>
          <w:b/>
          <w:bCs/>
          <w:sz w:val="22"/>
          <w:szCs w:val="22"/>
          <w:lang w:eastAsia="en-GB"/>
        </w:rPr>
        <w:t>Sustainability</w:t>
      </w:r>
    </w:p>
    <w:p w14:paraId="43B3144F" w14:textId="20789665" w:rsidR="00417963" w:rsidRPr="00417963" w:rsidRDefault="00417963" w:rsidP="00417963">
      <w:pPr>
        <w:rPr>
          <w:rFonts w:ascii="Aptos Light" w:hAnsi="Aptos Light"/>
          <w:sz w:val="22"/>
          <w:szCs w:val="22"/>
          <w:lang w:eastAsia="en-GB"/>
        </w:rPr>
      </w:pPr>
      <w:r w:rsidRPr="00417963">
        <w:rPr>
          <w:rFonts w:ascii="Aptos Light" w:hAnsi="Aptos Light"/>
          <w:sz w:val="22"/>
          <w:szCs w:val="22"/>
          <w:lang w:eastAsia="en-GB"/>
        </w:rPr>
        <w:t xml:space="preserve">Many works addressed sustainable concerns through materiality, process, and concept—issues deeply relevant to the ceramic discipline. While individual artists explored these ideas in depth, the festival </w:t>
      </w:r>
      <w:proofErr w:type="gramStart"/>
      <w:r w:rsidRPr="00417963">
        <w:rPr>
          <w:rFonts w:ascii="Aptos Light" w:hAnsi="Aptos Light"/>
          <w:sz w:val="22"/>
          <w:szCs w:val="22"/>
          <w:lang w:eastAsia="en-GB"/>
        </w:rPr>
        <w:t>as a whole lacked</w:t>
      </w:r>
      <w:proofErr w:type="gramEnd"/>
      <w:r w:rsidRPr="00417963">
        <w:rPr>
          <w:rFonts w:ascii="Aptos Light" w:hAnsi="Aptos Light"/>
          <w:sz w:val="22"/>
          <w:szCs w:val="22"/>
          <w:lang w:eastAsia="en-GB"/>
        </w:rPr>
        <w:t xml:space="preserve"> a unifying curatorial voice that connected these perspectives. A more explicit framing of sustainability across the Biennial would strengthen the dialogue between makers and audiences.</w:t>
      </w:r>
    </w:p>
    <w:p w14:paraId="3C92D84F" w14:textId="77777777" w:rsidR="00417963" w:rsidRDefault="00417963" w:rsidP="00417963">
      <w:pPr>
        <w:rPr>
          <w:rFonts w:ascii="Aptos Light" w:hAnsi="Aptos Light"/>
          <w:b/>
          <w:bCs/>
          <w:sz w:val="22"/>
          <w:szCs w:val="22"/>
          <w:lang w:eastAsia="en-GB"/>
        </w:rPr>
      </w:pPr>
    </w:p>
    <w:p w14:paraId="3C61FA4C" w14:textId="187AC7B6" w:rsidR="00417963" w:rsidRDefault="00417963" w:rsidP="00417963">
      <w:pPr>
        <w:rPr>
          <w:rFonts w:ascii="Aptos Light" w:hAnsi="Aptos Light"/>
          <w:sz w:val="22"/>
          <w:szCs w:val="22"/>
          <w:lang w:eastAsia="en-GB"/>
        </w:rPr>
      </w:pPr>
      <w:r w:rsidRPr="00417963">
        <w:rPr>
          <w:rFonts w:ascii="Aptos Light" w:hAnsi="Aptos Light"/>
          <w:b/>
          <w:bCs/>
          <w:sz w:val="22"/>
          <w:szCs w:val="22"/>
          <w:lang w:eastAsia="en-GB"/>
        </w:rPr>
        <w:t>Multi-sensory Experience</w:t>
      </w:r>
    </w:p>
    <w:p w14:paraId="481EFC8E" w14:textId="0B08BC2D" w:rsidR="00417963" w:rsidRPr="00417963" w:rsidRDefault="00417963" w:rsidP="00417963">
      <w:pPr>
        <w:rPr>
          <w:rFonts w:ascii="Aptos Light" w:hAnsi="Aptos Light"/>
          <w:sz w:val="22"/>
          <w:szCs w:val="22"/>
          <w:lang w:eastAsia="en-GB"/>
        </w:rPr>
      </w:pPr>
      <w:r w:rsidRPr="00417963">
        <w:rPr>
          <w:rFonts w:ascii="Aptos Light" w:hAnsi="Aptos Light"/>
          <w:sz w:val="22"/>
          <w:szCs w:val="22"/>
          <w:lang w:eastAsia="en-GB"/>
        </w:rPr>
        <w:t xml:space="preserve">The festival also offered rich sensory experiences. Charlotte Moore collaborated with perfumer Clara Weale to infuse </w:t>
      </w:r>
      <w:r w:rsidRPr="002E22F2">
        <w:rPr>
          <w:rFonts w:ascii="Aptos Light" w:hAnsi="Aptos Light"/>
          <w:i/>
          <w:iCs/>
          <w:sz w:val="22"/>
          <w:szCs w:val="22"/>
          <w:lang w:eastAsia="en-GB"/>
        </w:rPr>
        <w:t>Threshold</w:t>
      </w:r>
      <w:r w:rsidRPr="00417963">
        <w:rPr>
          <w:rFonts w:ascii="Aptos Light" w:hAnsi="Aptos Light"/>
          <w:sz w:val="22"/>
          <w:szCs w:val="22"/>
          <w:lang w:eastAsia="en-GB"/>
        </w:rPr>
        <w:t xml:space="preserve"> with scents from the Tamar Valley, while </w:t>
      </w:r>
      <w:proofErr w:type="spellStart"/>
      <w:r w:rsidRPr="00417963">
        <w:rPr>
          <w:rFonts w:ascii="Aptos Light" w:hAnsi="Aptos Light"/>
          <w:sz w:val="22"/>
          <w:szCs w:val="22"/>
          <w:lang w:eastAsia="en-GB"/>
        </w:rPr>
        <w:t>Garfo</w:t>
      </w:r>
      <w:proofErr w:type="spellEnd"/>
      <w:r w:rsidR="00BA45F8">
        <w:rPr>
          <w:rFonts w:ascii="Aptos Light" w:hAnsi="Aptos Light"/>
          <w:sz w:val="22"/>
          <w:szCs w:val="22"/>
          <w:lang w:eastAsia="en-GB"/>
        </w:rPr>
        <w:t xml:space="preserve"> and </w:t>
      </w:r>
      <w:proofErr w:type="spellStart"/>
      <w:r w:rsidR="00BA45F8">
        <w:rPr>
          <w:rFonts w:ascii="Aptos Light" w:hAnsi="Aptos Light"/>
          <w:sz w:val="22"/>
          <w:szCs w:val="22"/>
          <w:lang w:eastAsia="en-GB"/>
        </w:rPr>
        <w:t>Cachibache’s</w:t>
      </w:r>
      <w:proofErr w:type="spellEnd"/>
      <w:r w:rsidRPr="00417963">
        <w:rPr>
          <w:rFonts w:ascii="Aptos Light" w:hAnsi="Aptos Light"/>
          <w:sz w:val="22"/>
          <w:szCs w:val="22"/>
          <w:lang w:eastAsia="en-GB"/>
        </w:rPr>
        <w:t xml:space="preserve"> wave machine filled Space C with rhythm and sound. </w:t>
      </w:r>
      <w:r w:rsidR="00BA45F8">
        <w:rPr>
          <w:rFonts w:ascii="Aptos Light" w:hAnsi="Aptos Light"/>
          <w:sz w:val="22"/>
          <w:szCs w:val="22"/>
          <w:lang w:eastAsia="en-GB"/>
        </w:rPr>
        <w:t>I noticed v</w:t>
      </w:r>
      <w:r w:rsidRPr="00417963">
        <w:rPr>
          <w:rFonts w:ascii="Aptos Light" w:hAnsi="Aptos Light"/>
          <w:sz w:val="22"/>
          <w:szCs w:val="22"/>
          <w:lang w:eastAsia="en-GB"/>
        </w:rPr>
        <w:t>isitors were often drawn to touch</w:t>
      </w:r>
      <w:r w:rsidR="00BA45F8">
        <w:rPr>
          <w:rFonts w:ascii="Aptos Light" w:hAnsi="Aptos Light"/>
          <w:sz w:val="22"/>
          <w:szCs w:val="22"/>
          <w:lang w:eastAsia="en-GB"/>
        </w:rPr>
        <w:t xml:space="preserve"> </w:t>
      </w:r>
      <w:r w:rsidRPr="00417963">
        <w:rPr>
          <w:rFonts w:ascii="Aptos Light" w:hAnsi="Aptos Light"/>
          <w:sz w:val="22"/>
          <w:szCs w:val="22"/>
          <w:lang w:eastAsia="en-GB"/>
        </w:rPr>
        <w:t>works—reflecting clay’s inherent tactility—and Vegas and Rodgers’ wall of unfired clay</w:t>
      </w:r>
      <w:r w:rsidR="002E22F2">
        <w:rPr>
          <w:rFonts w:ascii="Aptos Light" w:hAnsi="Aptos Light"/>
          <w:sz w:val="22"/>
          <w:szCs w:val="22"/>
          <w:lang w:eastAsia="en-GB"/>
        </w:rPr>
        <w:t xml:space="preserve"> explicitly</w:t>
      </w:r>
      <w:r w:rsidRPr="00417963">
        <w:rPr>
          <w:rFonts w:ascii="Aptos Light" w:hAnsi="Aptos Light"/>
          <w:sz w:val="22"/>
          <w:szCs w:val="22"/>
          <w:lang w:eastAsia="en-GB"/>
        </w:rPr>
        <w:t xml:space="preserve"> invited mark-making. These examples highlight the potential for a more deliberate festival-wide exploration of multi-sensory engagement, inviting audiences to see, touch, smell, and listen to clay in new ways.</w:t>
      </w:r>
    </w:p>
    <w:p w14:paraId="1D607525" w14:textId="77777777" w:rsidR="00417963" w:rsidRDefault="00417963" w:rsidP="00417963">
      <w:pPr>
        <w:rPr>
          <w:rFonts w:ascii="Aptos Light" w:hAnsi="Aptos Light"/>
          <w:sz w:val="22"/>
          <w:szCs w:val="22"/>
          <w:lang w:eastAsia="en-GB"/>
        </w:rPr>
      </w:pPr>
    </w:p>
    <w:p w14:paraId="67CBB5F7" w14:textId="7B7D9F98" w:rsidR="00417963" w:rsidRDefault="00417963" w:rsidP="00417963">
      <w:pPr>
        <w:rPr>
          <w:rFonts w:ascii="Aptos Light" w:hAnsi="Aptos Light"/>
          <w:sz w:val="22"/>
          <w:szCs w:val="22"/>
          <w:lang w:eastAsia="en-GB"/>
        </w:rPr>
      </w:pPr>
      <w:r w:rsidRPr="00417963">
        <w:rPr>
          <w:rFonts w:ascii="Aptos Light" w:hAnsi="Aptos Light"/>
          <w:sz w:val="22"/>
          <w:szCs w:val="22"/>
          <w:lang w:eastAsia="en-GB"/>
        </w:rPr>
        <w:t xml:space="preserve">The individual presentations (The Chimney Princess, </w:t>
      </w:r>
      <w:proofErr w:type="spellStart"/>
      <w:r w:rsidRPr="00417963">
        <w:rPr>
          <w:rFonts w:ascii="Aptos Light" w:hAnsi="Aptos Light"/>
          <w:sz w:val="22"/>
          <w:szCs w:val="22"/>
          <w:lang w:eastAsia="en-GB"/>
        </w:rPr>
        <w:t>Raverina’s</w:t>
      </w:r>
      <w:proofErr w:type="spellEnd"/>
      <w:r w:rsidRPr="00417963">
        <w:rPr>
          <w:rFonts w:ascii="Aptos Light" w:hAnsi="Aptos Light"/>
          <w:sz w:val="22"/>
          <w:szCs w:val="22"/>
          <w:lang w:eastAsia="en-GB"/>
        </w:rPr>
        <w:t xml:space="preserve"> Dance Floor, Sweet Terrain) each demonstrated distinctive conceptual approaches and community collaborations. Together, they illustrated clay’s versatility and relevance in contemporary practice. While the artistic quality of all three was high, their placement together felt somewhat disjointed. A stronger curatorial narrative connecting these projects could have enhanced visitor understanding and provided greater cohesion across the Biennial.</w:t>
      </w:r>
    </w:p>
    <w:p w14:paraId="527C094D" w14:textId="77777777" w:rsidR="00417963" w:rsidRPr="00417963" w:rsidRDefault="00417963" w:rsidP="00417963">
      <w:pPr>
        <w:rPr>
          <w:rFonts w:ascii="Aptos Light" w:hAnsi="Aptos Light"/>
          <w:sz w:val="22"/>
          <w:szCs w:val="22"/>
          <w:lang w:eastAsia="en-GB"/>
        </w:rPr>
      </w:pPr>
    </w:p>
    <w:p w14:paraId="0D10B188" w14:textId="1CE999D1" w:rsidR="00417963" w:rsidRPr="00417963" w:rsidRDefault="00417963" w:rsidP="00417963">
      <w:pPr>
        <w:rPr>
          <w:rFonts w:ascii="Aptos Light" w:hAnsi="Aptos Light"/>
          <w:sz w:val="22"/>
          <w:szCs w:val="22"/>
          <w:lang w:eastAsia="en-GB"/>
        </w:rPr>
      </w:pPr>
      <w:r w:rsidRPr="00417963">
        <w:rPr>
          <w:rFonts w:ascii="Aptos Light" w:hAnsi="Aptos Light"/>
          <w:sz w:val="22"/>
          <w:szCs w:val="22"/>
          <w:lang w:eastAsia="en-GB"/>
        </w:rPr>
        <w:t xml:space="preserve">Overall, the exhibitions demonstrated an impressive range of high-quality ideas and concepts, showcasing the breadth and vitality of contemporary ceramics. While BCB has not traditionally organised themed group shows, future editions might benefit from framing or connecting recurring ideas across exhibitions, optimising spatial layouts to support individual works, and ensuring clear introductions </w:t>
      </w:r>
      <w:r w:rsidR="00BA45F8" w:rsidRPr="00417963">
        <w:rPr>
          <w:rFonts w:ascii="Aptos Light" w:hAnsi="Aptos Light"/>
          <w:sz w:val="22"/>
          <w:szCs w:val="22"/>
          <w:lang w:eastAsia="en-GB"/>
        </w:rPr>
        <w:t>accompan</w:t>
      </w:r>
      <w:r w:rsidR="00BA45F8">
        <w:rPr>
          <w:rFonts w:ascii="Aptos Light" w:hAnsi="Aptos Light"/>
          <w:sz w:val="22"/>
          <w:szCs w:val="22"/>
          <w:lang w:eastAsia="en-GB"/>
        </w:rPr>
        <w:t>ied</w:t>
      </w:r>
      <w:r w:rsidRPr="00417963">
        <w:rPr>
          <w:rFonts w:ascii="Aptos Light" w:hAnsi="Aptos Light"/>
          <w:sz w:val="22"/>
          <w:szCs w:val="22"/>
          <w:lang w:eastAsia="en-GB"/>
        </w:rPr>
        <w:t xml:space="preserve"> </w:t>
      </w:r>
      <w:r w:rsidR="00BA45F8">
        <w:rPr>
          <w:rFonts w:ascii="Aptos Light" w:hAnsi="Aptos Light"/>
          <w:sz w:val="22"/>
          <w:szCs w:val="22"/>
          <w:lang w:eastAsia="en-GB"/>
        </w:rPr>
        <w:t>groups of works in each zone of the exhibition complex.</w:t>
      </w:r>
    </w:p>
    <w:p w14:paraId="148A1182" w14:textId="77777777" w:rsidR="00A31535" w:rsidRDefault="00A31535" w:rsidP="00417963">
      <w:pPr>
        <w:rPr>
          <w:rFonts w:ascii="Aptos Light" w:hAnsi="Aptos Light"/>
          <w:sz w:val="22"/>
          <w:szCs w:val="22"/>
          <w:lang w:eastAsia="en-GB"/>
        </w:rPr>
      </w:pPr>
    </w:p>
    <w:p w14:paraId="323563D6" w14:textId="77777777" w:rsidR="00417963" w:rsidRPr="00417963" w:rsidRDefault="00417963" w:rsidP="00417963">
      <w:pPr>
        <w:rPr>
          <w:rFonts w:ascii="Aptos Light" w:hAnsi="Aptos Light"/>
          <w:sz w:val="22"/>
          <w:szCs w:val="22"/>
          <w:lang w:eastAsia="en-GB"/>
        </w:rPr>
      </w:pPr>
    </w:p>
    <w:p w14:paraId="671C339B" w14:textId="2FE58E1F" w:rsidR="00A31535" w:rsidRPr="00417963" w:rsidRDefault="00A31535" w:rsidP="00417963">
      <w:pPr>
        <w:rPr>
          <w:rFonts w:ascii="Aptos Light" w:hAnsi="Aptos Light"/>
          <w:b/>
          <w:bCs/>
          <w:sz w:val="22"/>
          <w:szCs w:val="22"/>
          <w:lang w:eastAsia="en-GB"/>
        </w:rPr>
      </w:pPr>
      <w:r w:rsidRPr="00417963">
        <w:rPr>
          <w:rFonts w:ascii="Aptos Light" w:hAnsi="Aptos Light"/>
          <w:b/>
          <w:bCs/>
          <w:sz w:val="22"/>
          <w:szCs w:val="22"/>
          <w:lang w:eastAsia="en-GB"/>
        </w:rPr>
        <w:lastRenderedPageBreak/>
        <w:t>2. The Originality and Distinctiveness of the Exhibitions and Presentations within BCB 2025</w:t>
      </w:r>
    </w:p>
    <w:p w14:paraId="5419B0AF" w14:textId="77777777" w:rsidR="00417963" w:rsidRDefault="00417963" w:rsidP="00417963">
      <w:pPr>
        <w:rPr>
          <w:rFonts w:ascii="Aptos Light" w:hAnsi="Aptos Light"/>
          <w:sz w:val="22"/>
          <w:szCs w:val="22"/>
        </w:rPr>
      </w:pPr>
    </w:p>
    <w:p w14:paraId="56BCB9C5" w14:textId="4543C642" w:rsidR="00417963" w:rsidRDefault="00417963" w:rsidP="00417963">
      <w:pPr>
        <w:rPr>
          <w:rFonts w:ascii="Aptos Light" w:hAnsi="Aptos Light"/>
          <w:sz w:val="22"/>
          <w:szCs w:val="22"/>
        </w:rPr>
      </w:pPr>
      <w:r w:rsidRPr="00417963">
        <w:rPr>
          <w:rFonts w:ascii="Aptos Light" w:hAnsi="Aptos Light"/>
          <w:sz w:val="22"/>
          <w:szCs w:val="22"/>
        </w:rPr>
        <w:t xml:space="preserve">The vast scale of the old Spode Factory provided an impressive backdrop that allowed for spacious and dramatic installations. This environment supported the diverse visions of the many artists and makers represented. The </w:t>
      </w:r>
      <w:r w:rsidRPr="00417963">
        <w:rPr>
          <w:rStyle w:val="Emphasis"/>
          <w:rFonts w:ascii="Aptos Light" w:hAnsi="Aptos Light"/>
          <w:i w:val="0"/>
          <w:iCs w:val="0"/>
          <w:sz w:val="22"/>
          <w:szCs w:val="22"/>
        </w:rPr>
        <w:t>Award</w:t>
      </w:r>
      <w:r w:rsidRPr="00417963">
        <w:rPr>
          <w:rFonts w:ascii="Aptos Light" w:hAnsi="Aptos Light"/>
          <w:sz w:val="22"/>
          <w:szCs w:val="22"/>
        </w:rPr>
        <w:t xml:space="preserve"> and </w:t>
      </w:r>
      <w:r w:rsidRPr="00417963">
        <w:rPr>
          <w:rStyle w:val="Emphasis"/>
          <w:rFonts w:ascii="Aptos Light" w:hAnsi="Aptos Light"/>
          <w:i w:val="0"/>
          <w:iCs w:val="0"/>
          <w:sz w:val="22"/>
          <w:szCs w:val="22"/>
        </w:rPr>
        <w:t>Fresh</w:t>
      </w:r>
      <w:r w:rsidRPr="00417963">
        <w:rPr>
          <w:rFonts w:ascii="Aptos Light" w:hAnsi="Aptos Light"/>
          <w:sz w:val="22"/>
          <w:szCs w:val="22"/>
        </w:rPr>
        <w:t xml:space="preserve"> exhibitions successfully showcased both established and emerging talent—35 makers in total—while the individual presentations highlighted the breadth of contemporary ceramic practice. Together, these elements created a rich and varied showcase of how clay is being used in innovative ways today.</w:t>
      </w:r>
    </w:p>
    <w:p w14:paraId="17A5A3DE" w14:textId="77777777" w:rsidR="00417963" w:rsidRPr="00417963" w:rsidRDefault="00417963" w:rsidP="00417963">
      <w:pPr>
        <w:rPr>
          <w:rFonts w:ascii="Aptos Light" w:hAnsi="Aptos Light"/>
          <w:sz w:val="22"/>
          <w:szCs w:val="22"/>
        </w:rPr>
      </w:pPr>
    </w:p>
    <w:p w14:paraId="212F95AE" w14:textId="77777777" w:rsidR="00417963" w:rsidRDefault="00417963" w:rsidP="00417963">
      <w:pPr>
        <w:rPr>
          <w:rFonts w:ascii="Aptos Light" w:hAnsi="Aptos Light"/>
          <w:sz w:val="22"/>
          <w:szCs w:val="22"/>
        </w:rPr>
      </w:pPr>
      <w:r w:rsidRPr="00417963">
        <w:rPr>
          <w:rFonts w:ascii="Aptos Light" w:hAnsi="Aptos Light"/>
          <w:sz w:val="22"/>
          <w:szCs w:val="22"/>
        </w:rPr>
        <w:t>While this approach effectively demonstrated the diversity of voices in ceramics, it also meant that the exhibitions lacked a unifying thematic framework. A more explicit curatorial focus on emerging trends or shared concerns within ceramic practice over the past two years might have helped the Biennial communicate a stronger sense of direction and critical perspective.</w:t>
      </w:r>
    </w:p>
    <w:p w14:paraId="46E15A50" w14:textId="77777777" w:rsidR="00417963" w:rsidRPr="00417963" w:rsidRDefault="00417963" w:rsidP="00417963">
      <w:pPr>
        <w:rPr>
          <w:rFonts w:ascii="Aptos Light" w:hAnsi="Aptos Light"/>
          <w:sz w:val="22"/>
          <w:szCs w:val="22"/>
        </w:rPr>
      </w:pPr>
    </w:p>
    <w:p w14:paraId="4DC869B2" w14:textId="1C8BAC8E" w:rsidR="00417963" w:rsidRPr="00417963" w:rsidRDefault="00417963" w:rsidP="00417963">
      <w:pPr>
        <w:rPr>
          <w:rFonts w:ascii="Aptos Light" w:hAnsi="Aptos Light"/>
          <w:sz w:val="22"/>
          <w:szCs w:val="22"/>
        </w:rPr>
      </w:pPr>
      <w:r w:rsidRPr="00417963">
        <w:rPr>
          <w:rFonts w:ascii="Aptos Light" w:hAnsi="Aptos Light"/>
          <w:sz w:val="22"/>
          <w:szCs w:val="22"/>
        </w:rPr>
        <w:t xml:space="preserve">Within the </w:t>
      </w:r>
      <w:r w:rsidRPr="00417963">
        <w:rPr>
          <w:rStyle w:val="Emphasis"/>
          <w:rFonts w:ascii="Aptos Light" w:hAnsi="Aptos Light"/>
          <w:i w:val="0"/>
          <w:iCs w:val="0"/>
          <w:sz w:val="22"/>
          <w:szCs w:val="22"/>
        </w:rPr>
        <w:t>Award</w:t>
      </w:r>
      <w:r w:rsidRPr="00417963">
        <w:rPr>
          <w:rFonts w:ascii="Aptos Light" w:hAnsi="Aptos Light"/>
          <w:sz w:val="22"/>
          <w:szCs w:val="22"/>
        </w:rPr>
        <w:t xml:space="preserve"> exhibition, the content was strong, but the interpretive material could have been more effectively presented within the space itself. Information about each exhibitor was available, but it was not always fully integrated into the visitor experience. An overarching introduction to each zone and exhibition would have further supported the visitors’ understanding of what they were about to experience.</w:t>
      </w:r>
    </w:p>
    <w:p w14:paraId="45C8012E" w14:textId="77777777" w:rsidR="00417963" w:rsidRDefault="00417963" w:rsidP="00417963">
      <w:pPr>
        <w:rPr>
          <w:rFonts w:ascii="Aptos Light" w:hAnsi="Aptos Light"/>
          <w:sz w:val="22"/>
          <w:szCs w:val="22"/>
        </w:rPr>
      </w:pPr>
    </w:p>
    <w:p w14:paraId="1905E2AD" w14:textId="1863BFF6" w:rsidR="00417963" w:rsidRDefault="00417963" w:rsidP="00417963">
      <w:pPr>
        <w:rPr>
          <w:rFonts w:ascii="Aptos Light" w:hAnsi="Aptos Light"/>
          <w:sz w:val="22"/>
          <w:szCs w:val="22"/>
        </w:rPr>
      </w:pPr>
      <w:r w:rsidRPr="00417963">
        <w:rPr>
          <w:rFonts w:ascii="Aptos Light" w:hAnsi="Aptos Light"/>
          <w:sz w:val="22"/>
          <w:szCs w:val="22"/>
        </w:rPr>
        <w:t xml:space="preserve">The Biennial </w:t>
      </w:r>
      <w:proofErr w:type="gramStart"/>
      <w:r w:rsidRPr="00417963">
        <w:rPr>
          <w:rFonts w:ascii="Aptos Light" w:hAnsi="Aptos Light"/>
          <w:sz w:val="22"/>
          <w:szCs w:val="22"/>
        </w:rPr>
        <w:t>as a whole felt</w:t>
      </w:r>
      <w:proofErr w:type="gramEnd"/>
      <w:r w:rsidRPr="00417963">
        <w:rPr>
          <w:rFonts w:ascii="Aptos Light" w:hAnsi="Aptos Light"/>
          <w:sz w:val="22"/>
          <w:szCs w:val="22"/>
        </w:rPr>
        <w:t xml:space="preserve"> international, inclusive, and diverse, representing makers from a wide range of backgrounds. This diversity was an important and positive aspect of the exhibition experience. It is vital that BCB continues to champion underrepresented voices—both through its exhibiting artists and its wider community engagement.</w:t>
      </w:r>
    </w:p>
    <w:p w14:paraId="5F353CA0" w14:textId="77777777" w:rsidR="00417963" w:rsidRPr="00417963" w:rsidRDefault="00417963" w:rsidP="00417963">
      <w:pPr>
        <w:rPr>
          <w:rFonts w:ascii="Aptos Light" w:hAnsi="Aptos Light"/>
          <w:sz w:val="22"/>
          <w:szCs w:val="22"/>
        </w:rPr>
      </w:pPr>
    </w:p>
    <w:p w14:paraId="11D5B515" w14:textId="77777777" w:rsidR="00417963" w:rsidRDefault="00417963" w:rsidP="00417963">
      <w:pPr>
        <w:rPr>
          <w:rFonts w:ascii="Aptos Light" w:hAnsi="Aptos Light"/>
          <w:sz w:val="22"/>
          <w:szCs w:val="22"/>
        </w:rPr>
      </w:pPr>
      <w:r w:rsidRPr="00417963">
        <w:rPr>
          <w:rFonts w:ascii="Aptos Light" w:hAnsi="Aptos Light"/>
          <w:sz w:val="22"/>
          <w:szCs w:val="22"/>
        </w:rPr>
        <w:t>The film programme stood out as an original and intriguing addition to BCB 2025. It was encouraging to see the Biennial embrace new formats, such as film, to broaden its dialogue around clay. This initiative successfully introduced international perspectives, bringing new voices and cultural contexts into the festival. The focus on Global Majority filmmakers—particularly those of African and Caribbean heritage—was both thoughtful and timely, aligning with wider discussions around inclusivity in the arts.</w:t>
      </w:r>
    </w:p>
    <w:p w14:paraId="11F71A02" w14:textId="77777777" w:rsidR="00417963" w:rsidRPr="00417963" w:rsidRDefault="00417963" w:rsidP="00417963">
      <w:pPr>
        <w:rPr>
          <w:rFonts w:ascii="Aptos Light" w:hAnsi="Aptos Light"/>
          <w:sz w:val="22"/>
          <w:szCs w:val="22"/>
        </w:rPr>
      </w:pPr>
    </w:p>
    <w:p w14:paraId="4E909CE0" w14:textId="77777777" w:rsidR="00417963" w:rsidRDefault="00417963" w:rsidP="00417963">
      <w:pPr>
        <w:rPr>
          <w:rFonts w:ascii="Aptos Light" w:hAnsi="Aptos Light"/>
          <w:sz w:val="22"/>
          <w:szCs w:val="22"/>
        </w:rPr>
      </w:pPr>
      <w:r w:rsidRPr="00417963">
        <w:rPr>
          <w:rFonts w:ascii="Aptos Light" w:hAnsi="Aptos Light"/>
          <w:sz w:val="22"/>
          <w:szCs w:val="22"/>
        </w:rPr>
        <w:t>The open-call process, which invited filmmakers who referenced ceramics or pottery within their work, was ambitious and well-intentioned. However, the resulting selection felt somewhat disparate. For example, one film set in a pottery studio explored themes of brotherhood, jealousy, and revenge, while another offered a documentary portrait of a South African ceramic artist. Both were strong works individually, but together they lacked a cohesive thread beyond the shared presence of clay.</w:t>
      </w:r>
    </w:p>
    <w:p w14:paraId="4E8409B9" w14:textId="77777777" w:rsidR="00417963" w:rsidRPr="00417963" w:rsidRDefault="00417963" w:rsidP="00417963">
      <w:pPr>
        <w:rPr>
          <w:rFonts w:ascii="Aptos Light" w:hAnsi="Aptos Light"/>
          <w:sz w:val="22"/>
          <w:szCs w:val="22"/>
        </w:rPr>
      </w:pPr>
    </w:p>
    <w:p w14:paraId="1CDF2AB3" w14:textId="6E6ED4A3" w:rsidR="00417963" w:rsidRDefault="00417963" w:rsidP="00417963">
      <w:pPr>
        <w:rPr>
          <w:rFonts w:ascii="Aptos Light" w:hAnsi="Aptos Light"/>
          <w:sz w:val="22"/>
          <w:szCs w:val="22"/>
        </w:rPr>
      </w:pPr>
      <w:r w:rsidRPr="00417963">
        <w:rPr>
          <w:rFonts w:ascii="Aptos Light" w:hAnsi="Aptos Light"/>
          <w:sz w:val="22"/>
          <w:szCs w:val="22"/>
        </w:rPr>
        <w:t xml:space="preserve">A more targeted curatorial partnership or thematic framework could strengthen this strand in future. By aligning the film programme with overarching festival themes, BCB could achieve greater coherence while maintaining diversity and international reach. This strand has significant potential to develop as a distinctive and innovative part of the Biennial programme, helping to forge new international connections and amplify global voices </w:t>
      </w:r>
      <w:r w:rsidR="00BA45F8">
        <w:rPr>
          <w:rFonts w:ascii="Aptos Light" w:hAnsi="Aptos Light"/>
          <w:sz w:val="22"/>
          <w:szCs w:val="22"/>
        </w:rPr>
        <w:t xml:space="preserve">in dialogue with, and </w:t>
      </w:r>
      <w:r w:rsidRPr="00417963">
        <w:rPr>
          <w:rFonts w:ascii="Aptos Light" w:hAnsi="Aptos Light"/>
          <w:sz w:val="22"/>
          <w:szCs w:val="22"/>
        </w:rPr>
        <w:t>within the field of ceramics.</w:t>
      </w:r>
    </w:p>
    <w:p w14:paraId="561EF3D5" w14:textId="77777777" w:rsidR="00417963" w:rsidRPr="00417963" w:rsidRDefault="00417963" w:rsidP="00417963">
      <w:pPr>
        <w:rPr>
          <w:rFonts w:ascii="Aptos Light" w:hAnsi="Aptos Light"/>
          <w:sz w:val="22"/>
          <w:szCs w:val="22"/>
        </w:rPr>
      </w:pPr>
    </w:p>
    <w:p w14:paraId="3875C907" w14:textId="77777777" w:rsidR="00417963" w:rsidRDefault="00417963" w:rsidP="00417963">
      <w:pPr>
        <w:rPr>
          <w:rFonts w:ascii="Aptos Light" w:hAnsi="Aptos Light"/>
          <w:sz w:val="22"/>
          <w:szCs w:val="22"/>
        </w:rPr>
      </w:pPr>
      <w:r w:rsidRPr="00417963">
        <w:rPr>
          <w:rFonts w:ascii="Aptos Light" w:hAnsi="Aptos Light"/>
          <w:sz w:val="22"/>
          <w:szCs w:val="22"/>
        </w:rPr>
        <w:t xml:space="preserve">The </w:t>
      </w:r>
      <w:r w:rsidRPr="00417963">
        <w:rPr>
          <w:rStyle w:val="Emphasis"/>
          <w:rFonts w:ascii="Aptos Light" w:hAnsi="Aptos Light"/>
          <w:i w:val="0"/>
          <w:iCs w:val="0"/>
          <w:sz w:val="22"/>
          <w:szCs w:val="22"/>
        </w:rPr>
        <w:t>Fresh Talent</w:t>
      </w:r>
      <w:r w:rsidRPr="00417963">
        <w:rPr>
          <w:rFonts w:ascii="Aptos Light" w:hAnsi="Aptos Light"/>
          <w:sz w:val="22"/>
          <w:szCs w:val="22"/>
        </w:rPr>
        <w:t xml:space="preserve"> showcase clearly demonstrated BCB’s commitment to nurturing emerging makers. The structure—offering prizes that lead to residencies and the opportunity to return with new work—reflects a genuine investment in artist development. This initiative not only provides vital professional support but also strengthens continuity between Biennial editions. It is an exemplary model of how an event can build sustained relationships with its exhibitors. However, it </w:t>
      </w:r>
      <w:r w:rsidRPr="00417963">
        <w:rPr>
          <w:rFonts w:ascii="Aptos Light" w:hAnsi="Aptos Light"/>
          <w:sz w:val="22"/>
          <w:szCs w:val="22"/>
        </w:rPr>
        <w:lastRenderedPageBreak/>
        <w:t>would have been valuable to learn more about the host venues for these residencies: how artists and venues were paired, what outcomes emerged, and how each residency shaped the participants’ growth. Greater transparency in communicating these partnerships would further celebrate BCB’s developmental impact.</w:t>
      </w:r>
    </w:p>
    <w:p w14:paraId="65392748" w14:textId="77777777" w:rsidR="00417963" w:rsidRPr="00417963" w:rsidRDefault="00417963" w:rsidP="00417963">
      <w:pPr>
        <w:rPr>
          <w:rFonts w:ascii="Aptos Light" w:hAnsi="Aptos Light"/>
          <w:sz w:val="22"/>
          <w:szCs w:val="22"/>
        </w:rPr>
      </w:pPr>
    </w:p>
    <w:p w14:paraId="19ADEDA2" w14:textId="77777777" w:rsidR="00417963" w:rsidRDefault="00417963" w:rsidP="00417963">
      <w:pPr>
        <w:rPr>
          <w:rFonts w:ascii="Aptos Light" w:hAnsi="Aptos Light"/>
          <w:sz w:val="22"/>
          <w:szCs w:val="22"/>
        </w:rPr>
      </w:pPr>
      <w:r w:rsidRPr="00417963">
        <w:rPr>
          <w:rFonts w:ascii="Aptos Light" w:hAnsi="Aptos Light"/>
          <w:sz w:val="22"/>
          <w:szCs w:val="22"/>
        </w:rPr>
        <w:t xml:space="preserve">Several projects also highlighted the strength of BCB’s year-long engagement activity. Initiatives like </w:t>
      </w:r>
      <w:r w:rsidRPr="00417963">
        <w:rPr>
          <w:rStyle w:val="Emphasis"/>
          <w:rFonts w:ascii="Aptos Light" w:hAnsi="Aptos Light"/>
          <w:i w:val="0"/>
          <w:iCs w:val="0"/>
          <w:sz w:val="22"/>
          <w:szCs w:val="22"/>
        </w:rPr>
        <w:t>Ceramic Cities Exchange</w:t>
      </w:r>
      <w:r w:rsidRPr="00417963">
        <w:rPr>
          <w:rFonts w:ascii="Aptos Light" w:hAnsi="Aptos Light"/>
          <w:sz w:val="22"/>
          <w:szCs w:val="22"/>
        </w:rPr>
        <w:t xml:space="preserve"> exemplify how the Biennial’s long-term community and collaborative work contribute to the final exhibitions. Even when the outcomes are not physically present, documentation such as film successfully communicates the process and impact. This continuity of engagement is a defining strength of the Biennial—feeding directly into the quality, diversity, and relevance of the works exhibited.</w:t>
      </w:r>
    </w:p>
    <w:p w14:paraId="3A131965" w14:textId="77777777" w:rsidR="00417963" w:rsidRPr="00417963" w:rsidRDefault="00417963" w:rsidP="00417963">
      <w:pPr>
        <w:rPr>
          <w:rFonts w:ascii="Aptos Light" w:hAnsi="Aptos Light"/>
          <w:sz w:val="22"/>
          <w:szCs w:val="22"/>
        </w:rPr>
      </w:pPr>
    </w:p>
    <w:p w14:paraId="40821C65" w14:textId="77777777" w:rsidR="00417963" w:rsidRDefault="00417963" w:rsidP="00417963">
      <w:pPr>
        <w:rPr>
          <w:rFonts w:ascii="Aptos Light" w:hAnsi="Aptos Light"/>
          <w:sz w:val="22"/>
          <w:szCs w:val="22"/>
        </w:rPr>
      </w:pPr>
      <w:r w:rsidRPr="00417963">
        <w:rPr>
          <w:rFonts w:ascii="Aptos Light" w:hAnsi="Aptos Light"/>
          <w:sz w:val="22"/>
          <w:szCs w:val="22"/>
        </w:rPr>
        <w:t xml:space="preserve">The exhibitions and presentations within BCB 2025 provided audiences with a comprehensive and insightful view of the continued relevance and importance of ceramics. The programme effectively illustrated the medium’s impact across multiple contexts—from grassroots community engagement to its capacity to express complex and challenging ideas through form and material. The originality and distinctiveness of the Biennial were most </w:t>
      </w:r>
      <w:proofErr w:type="gramStart"/>
      <w:r w:rsidRPr="00417963">
        <w:rPr>
          <w:rFonts w:ascii="Aptos Light" w:hAnsi="Aptos Light"/>
          <w:sz w:val="22"/>
          <w:szCs w:val="22"/>
        </w:rPr>
        <w:t>clearly evident</w:t>
      </w:r>
      <w:proofErr w:type="gramEnd"/>
      <w:r w:rsidRPr="00417963">
        <w:rPr>
          <w:rFonts w:ascii="Aptos Light" w:hAnsi="Aptos Light"/>
          <w:sz w:val="22"/>
          <w:szCs w:val="22"/>
        </w:rPr>
        <w:t xml:space="preserve"> in how these diverse approaches were brought together, merging low-fi and highbrow, social and studio practices. In doing so, BCB 2025 successfully embodied its vision of “change through clay,” demonstrating the power of ceramics to connect artistic innovation with social and cultural discourse.</w:t>
      </w:r>
    </w:p>
    <w:p w14:paraId="35D3A15B" w14:textId="77777777" w:rsidR="00893BDC" w:rsidRDefault="00893BDC" w:rsidP="00417963">
      <w:pPr>
        <w:rPr>
          <w:rFonts w:ascii="Aptos Light" w:hAnsi="Aptos Light"/>
          <w:sz w:val="22"/>
          <w:szCs w:val="22"/>
        </w:rPr>
      </w:pPr>
    </w:p>
    <w:p w14:paraId="77BC572C" w14:textId="77777777" w:rsidR="00681002" w:rsidRDefault="00681002" w:rsidP="00417963">
      <w:pPr>
        <w:rPr>
          <w:rFonts w:ascii="Aptos Light" w:hAnsi="Aptos Light"/>
          <w:sz w:val="22"/>
          <w:szCs w:val="22"/>
        </w:rPr>
      </w:pPr>
    </w:p>
    <w:p w14:paraId="46479943" w14:textId="77777777" w:rsidR="00893BDC" w:rsidRDefault="00893BDC" w:rsidP="00417963">
      <w:pPr>
        <w:rPr>
          <w:rFonts w:ascii="Aptos Light" w:hAnsi="Aptos Light"/>
          <w:sz w:val="22"/>
          <w:szCs w:val="22"/>
        </w:rPr>
      </w:pPr>
    </w:p>
    <w:p w14:paraId="177B68B2" w14:textId="77777777" w:rsidR="00681002" w:rsidRPr="00417963" w:rsidRDefault="00681002" w:rsidP="00417963">
      <w:pPr>
        <w:rPr>
          <w:rFonts w:ascii="Aptos Light" w:hAnsi="Aptos Light"/>
          <w:sz w:val="22"/>
          <w:szCs w:val="22"/>
        </w:rPr>
      </w:pPr>
    </w:p>
    <w:p w14:paraId="4546AB84" w14:textId="6AD6D284" w:rsidR="00A31535" w:rsidRPr="00417963" w:rsidRDefault="00417963" w:rsidP="00417963">
      <w:pPr>
        <w:rPr>
          <w:rFonts w:ascii="Aptos Light" w:hAnsi="Aptos Light"/>
          <w:b/>
          <w:bCs/>
          <w:sz w:val="22"/>
          <w:szCs w:val="22"/>
          <w:lang w:eastAsia="en-GB"/>
        </w:rPr>
      </w:pPr>
      <w:r w:rsidRPr="00417963">
        <w:rPr>
          <w:rFonts w:ascii="Aptos Light" w:hAnsi="Aptos Light"/>
          <w:b/>
          <w:bCs/>
          <w:sz w:val="22"/>
          <w:szCs w:val="22"/>
          <w:lang w:eastAsia="en-GB"/>
        </w:rPr>
        <w:t>3.</w:t>
      </w:r>
      <w:r>
        <w:rPr>
          <w:rFonts w:ascii="Aptos Light" w:hAnsi="Aptos Light"/>
          <w:b/>
          <w:bCs/>
          <w:sz w:val="22"/>
          <w:szCs w:val="22"/>
          <w:lang w:eastAsia="en-GB"/>
        </w:rPr>
        <w:t xml:space="preserve"> </w:t>
      </w:r>
      <w:r w:rsidR="00A31535" w:rsidRPr="00417963">
        <w:rPr>
          <w:rFonts w:ascii="Aptos Light" w:hAnsi="Aptos Light"/>
          <w:b/>
          <w:bCs/>
          <w:sz w:val="22"/>
          <w:szCs w:val="22"/>
          <w:lang w:eastAsia="en-GB"/>
        </w:rPr>
        <w:t>The Degree of Innovation and Curatorial Challenge Demonstrated within BCB 2025</w:t>
      </w:r>
    </w:p>
    <w:p w14:paraId="749D6648" w14:textId="77777777" w:rsidR="00417963" w:rsidRPr="00417963" w:rsidRDefault="00417963" w:rsidP="00417963">
      <w:pPr>
        <w:rPr>
          <w:lang w:eastAsia="en-GB"/>
        </w:rPr>
      </w:pPr>
    </w:p>
    <w:p w14:paraId="432EB361" w14:textId="4AE7E3D4"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 xml:space="preserve">BCB 2025 successfully brought together a complex mix of world-leading practitioners, emerging makers, socially engaged projects, student work, international film, and an interactive architectural installation. Presenting such a broad spectrum of creative activity within a single site—the old Spode Factory—was a remarkable curatorial achievement. The setting provided a unifying voice to these varied </w:t>
      </w:r>
      <w:r w:rsidR="002F683F" w:rsidRPr="00417963">
        <w:rPr>
          <w:rFonts w:ascii="Aptos Light" w:hAnsi="Aptos Light"/>
          <w:sz w:val="22"/>
          <w:szCs w:val="22"/>
          <w:lang w:eastAsia="en-GB"/>
        </w:rPr>
        <w:t>practices;</w:t>
      </w:r>
      <w:r w:rsidRPr="00417963">
        <w:rPr>
          <w:rFonts w:ascii="Aptos Light" w:hAnsi="Aptos Light"/>
          <w:sz w:val="22"/>
          <w:szCs w:val="22"/>
          <w:lang w:eastAsia="en-GB"/>
        </w:rPr>
        <w:t xml:space="preserve"> all connected through their engagement with clay and ceramics.</w:t>
      </w:r>
    </w:p>
    <w:p w14:paraId="685FF105" w14:textId="77777777" w:rsidR="00417963" w:rsidRPr="00417963" w:rsidRDefault="00417963" w:rsidP="00417963">
      <w:pPr>
        <w:rPr>
          <w:rFonts w:ascii="Aptos Light" w:hAnsi="Aptos Light"/>
          <w:sz w:val="22"/>
          <w:szCs w:val="22"/>
          <w:lang w:eastAsia="en-GB"/>
        </w:rPr>
      </w:pPr>
    </w:p>
    <w:p w14:paraId="71A47491" w14:textId="21D662EB"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 xml:space="preserve">The festival effectively balanced local and international perspectives. Its location in the historic Spode Factory was both practical and symbolic, grounding the Biennial within Stoke-on-Trent’s industrial ceramic heritage. The programme celebrated this connection through collaborations with local practitioners, partnerships with </w:t>
      </w:r>
      <w:r w:rsidR="002F683F" w:rsidRPr="00417963">
        <w:rPr>
          <w:rFonts w:ascii="Aptos Light" w:hAnsi="Aptos Light"/>
          <w:sz w:val="22"/>
          <w:szCs w:val="22"/>
          <w:lang w:eastAsia="en-GB"/>
        </w:rPr>
        <w:t xml:space="preserve">the </w:t>
      </w:r>
      <w:r w:rsidRPr="00417963">
        <w:rPr>
          <w:rFonts w:ascii="Aptos Light" w:hAnsi="Aptos Light"/>
          <w:sz w:val="22"/>
          <w:szCs w:val="22"/>
          <w:lang w:eastAsia="en-GB"/>
        </w:rPr>
        <w:t>University</w:t>
      </w:r>
      <w:r w:rsidR="002F683F" w:rsidRPr="00417963">
        <w:rPr>
          <w:rFonts w:ascii="Aptos Light" w:hAnsi="Aptos Light"/>
          <w:sz w:val="22"/>
          <w:szCs w:val="22"/>
          <w:lang w:eastAsia="en-GB"/>
        </w:rPr>
        <w:t xml:space="preserve"> of Staffordshire’s</w:t>
      </w:r>
      <w:r w:rsidRPr="00417963">
        <w:rPr>
          <w:rFonts w:ascii="Aptos Light" w:hAnsi="Aptos Light"/>
          <w:sz w:val="22"/>
          <w:szCs w:val="22"/>
          <w:lang w:eastAsia="en-GB"/>
        </w:rPr>
        <w:t xml:space="preserve"> Ceramics Department, and the use of local production facilities.</w:t>
      </w:r>
    </w:p>
    <w:p w14:paraId="0F8E78D9" w14:textId="77777777" w:rsidR="00417963" w:rsidRPr="00417963" w:rsidRDefault="00417963" w:rsidP="00417963">
      <w:pPr>
        <w:rPr>
          <w:rFonts w:ascii="Aptos Light" w:hAnsi="Aptos Light"/>
          <w:sz w:val="22"/>
          <w:szCs w:val="22"/>
          <w:lang w:eastAsia="en-GB"/>
        </w:rPr>
      </w:pPr>
    </w:p>
    <w:p w14:paraId="4D18C0D5" w14:textId="49B4917C"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At the same time, the Biennial demonstrated a strong outward-looking vision. International and diasporic perspectives were woven throughout the programme—visible in the Ceramic Cities Exchange</w:t>
      </w:r>
      <w:r w:rsidR="00AC2539" w:rsidRPr="00417963">
        <w:rPr>
          <w:rFonts w:ascii="Aptos Light" w:hAnsi="Aptos Light"/>
          <w:sz w:val="22"/>
          <w:szCs w:val="22"/>
          <w:lang w:eastAsia="en-GB"/>
        </w:rPr>
        <w:t xml:space="preserve"> with </w:t>
      </w:r>
      <w:proofErr w:type="spellStart"/>
      <w:r w:rsidR="00AC2539" w:rsidRPr="00417963">
        <w:rPr>
          <w:rFonts w:ascii="Aptos Light" w:hAnsi="Aptos Light"/>
          <w:sz w:val="22"/>
          <w:szCs w:val="22"/>
          <w:lang w:eastAsia="en-GB"/>
        </w:rPr>
        <w:t>Boleslawiec</w:t>
      </w:r>
      <w:proofErr w:type="spellEnd"/>
      <w:r w:rsidR="00AC2539" w:rsidRPr="00417963">
        <w:rPr>
          <w:rFonts w:ascii="Aptos Light" w:hAnsi="Aptos Light"/>
          <w:sz w:val="22"/>
          <w:szCs w:val="22"/>
          <w:lang w:eastAsia="en-GB"/>
        </w:rPr>
        <w:t>, Poland</w:t>
      </w:r>
      <w:r w:rsidRPr="00417963">
        <w:rPr>
          <w:rFonts w:ascii="Aptos Light" w:hAnsi="Aptos Light"/>
          <w:sz w:val="22"/>
          <w:szCs w:val="22"/>
          <w:lang w:eastAsia="en-GB"/>
        </w:rPr>
        <w:t xml:space="preserve">, the global film strand, </w:t>
      </w:r>
      <w:proofErr w:type="spellStart"/>
      <w:r w:rsidRPr="00417963">
        <w:rPr>
          <w:rFonts w:ascii="Aptos Light" w:hAnsi="Aptos Light"/>
          <w:sz w:val="22"/>
          <w:szCs w:val="22"/>
          <w:lang w:eastAsia="en-GB"/>
        </w:rPr>
        <w:t>Raverina’s</w:t>
      </w:r>
      <w:proofErr w:type="spellEnd"/>
      <w:r w:rsidRPr="00417963">
        <w:rPr>
          <w:rFonts w:ascii="Aptos Light" w:hAnsi="Aptos Light"/>
          <w:sz w:val="22"/>
          <w:szCs w:val="22"/>
          <w:lang w:eastAsia="en-GB"/>
        </w:rPr>
        <w:t xml:space="preserve"> Dance Floor by </w:t>
      </w:r>
      <w:proofErr w:type="spellStart"/>
      <w:r w:rsidRPr="00417963">
        <w:rPr>
          <w:rFonts w:ascii="Aptos Light" w:hAnsi="Aptos Light"/>
          <w:sz w:val="22"/>
          <w:szCs w:val="22"/>
          <w:lang w:eastAsia="en-GB"/>
        </w:rPr>
        <w:t>Garfo</w:t>
      </w:r>
      <w:proofErr w:type="spellEnd"/>
      <w:r w:rsidR="00AC2539" w:rsidRPr="00417963">
        <w:rPr>
          <w:rFonts w:ascii="Aptos Light" w:hAnsi="Aptos Light"/>
          <w:sz w:val="22"/>
          <w:szCs w:val="22"/>
          <w:lang w:eastAsia="en-GB"/>
        </w:rPr>
        <w:t xml:space="preserve"> and </w:t>
      </w:r>
      <w:proofErr w:type="spellStart"/>
      <w:r w:rsidR="00AC2539" w:rsidRPr="00417963">
        <w:rPr>
          <w:rFonts w:ascii="Aptos Light" w:hAnsi="Aptos Light"/>
          <w:sz w:val="22"/>
          <w:szCs w:val="22"/>
          <w:lang w:eastAsia="en-GB"/>
        </w:rPr>
        <w:t>Cachibache</w:t>
      </w:r>
      <w:proofErr w:type="spellEnd"/>
      <w:r w:rsidRPr="00417963">
        <w:rPr>
          <w:rFonts w:ascii="Aptos Light" w:hAnsi="Aptos Light"/>
          <w:sz w:val="22"/>
          <w:szCs w:val="22"/>
          <w:lang w:eastAsia="en-GB"/>
        </w:rPr>
        <w:t>, and projects involving Middle Eastern bakers in West London. This balance between the local and global is one of the festival’s defining strengths.</w:t>
      </w:r>
    </w:p>
    <w:p w14:paraId="1DC8DE31" w14:textId="77777777" w:rsidR="00417963" w:rsidRPr="00417963" w:rsidRDefault="00417963" w:rsidP="00417963">
      <w:pPr>
        <w:rPr>
          <w:rFonts w:ascii="Aptos Light" w:hAnsi="Aptos Light"/>
          <w:sz w:val="22"/>
          <w:szCs w:val="22"/>
          <w:lang w:eastAsia="en-GB"/>
        </w:rPr>
      </w:pPr>
    </w:p>
    <w:p w14:paraId="49AA8345" w14:textId="77777777"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This duality also highlights the curatorial ambition of BCB 2025. Bringing together such a wide range of practices—spanning disciplines, cultures, and levels of experience—posed significant logistical and conceptual challenges. The curatorial team managed these complexities with intelligence and sensitivity, creating a festival that felt both expansive and cohesive.</w:t>
      </w:r>
    </w:p>
    <w:p w14:paraId="376C3EA4" w14:textId="77777777" w:rsidR="00BA45F8" w:rsidRDefault="00BA45F8" w:rsidP="00417963">
      <w:pPr>
        <w:rPr>
          <w:rFonts w:ascii="Aptos Light" w:hAnsi="Aptos Light"/>
          <w:sz w:val="22"/>
          <w:szCs w:val="22"/>
          <w:lang w:eastAsia="en-GB"/>
        </w:rPr>
      </w:pPr>
    </w:p>
    <w:p w14:paraId="2D7ACA61" w14:textId="2CE06415"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lastRenderedPageBreak/>
        <w:t>By positioning Stoke-on-Trent as a site for international dialogue about ceramics, BCB reinforces the city’s global cultural relevance while supporting its fragile ceramic industry. This interplay between heritage, innovation, and inclusivity is central to the Biennial’s impact and continues to distinguish it within the wider arts landscape.</w:t>
      </w:r>
    </w:p>
    <w:p w14:paraId="4057EC05" w14:textId="77777777" w:rsidR="00417963" w:rsidRDefault="00417963" w:rsidP="00417963">
      <w:pPr>
        <w:rPr>
          <w:rFonts w:ascii="Aptos Light" w:hAnsi="Aptos Light"/>
          <w:sz w:val="22"/>
          <w:szCs w:val="22"/>
          <w:lang w:eastAsia="en-GB"/>
        </w:rPr>
      </w:pPr>
    </w:p>
    <w:p w14:paraId="74B50F59" w14:textId="77777777" w:rsidR="00417963" w:rsidRDefault="00417963" w:rsidP="00417963">
      <w:pPr>
        <w:rPr>
          <w:rFonts w:ascii="Aptos Light" w:hAnsi="Aptos Light"/>
          <w:sz w:val="22"/>
          <w:szCs w:val="22"/>
          <w:lang w:eastAsia="en-GB"/>
        </w:rPr>
      </w:pPr>
    </w:p>
    <w:p w14:paraId="528A026D" w14:textId="77777777" w:rsidR="00681002" w:rsidRDefault="00681002" w:rsidP="00417963">
      <w:pPr>
        <w:rPr>
          <w:rFonts w:ascii="Aptos Light" w:hAnsi="Aptos Light"/>
          <w:sz w:val="22"/>
          <w:szCs w:val="22"/>
          <w:lang w:eastAsia="en-GB"/>
        </w:rPr>
      </w:pPr>
    </w:p>
    <w:p w14:paraId="77F1F197" w14:textId="77777777" w:rsidR="00681002" w:rsidRDefault="00681002" w:rsidP="00417963">
      <w:pPr>
        <w:rPr>
          <w:rFonts w:ascii="Aptos Light" w:hAnsi="Aptos Light"/>
          <w:sz w:val="22"/>
          <w:szCs w:val="22"/>
          <w:lang w:eastAsia="en-GB"/>
        </w:rPr>
      </w:pPr>
    </w:p>
    <w:p w14:paraId="5B9E3F58" w14:textId="77777777" w:rsidR="00417963" w:rsidRDefault="00417963" w:rsidP="00417963">
      <w:pPr>
        <w:rPr>
          <w:rFonts w:ascii="Aptos Light" w:hAnsi="Aptos Light"/>
          <w:sz w:val="22"/>
          <w:szCs w:val="22"/>
          <w:lang w:eastAsia="en-GB"/>
        </w:rPr>
      </w:pPr>
    </w:p>
    <w:p w14:paraId="6F1E77E2" w14:textId="77777777" w:rsidR="00681002" w:rsidRPr="00417963" w:rsidRDefault="00681002" w:rsidP="00417963">
      <w:pPr>
        <w:rPr>
          <w:rFonts w:ascii="Aptos Light" w:hAnsi="Aptos Light"/>
          <w:sz w:val="22"/>
          <w:szCs w:val="22"/>
          <w:lang w:eastAsia="en-GB"/>
        </w:rPr>
      </w:pPr>
    </w:p>
    <w:p w14:paraId="2F369EDF" w14:textId="77777777" w:rsidR="00A31535" w:rsidRDefault="00A31535" w:rsidP="00417963">
      <w:pPr>
        <w:rPr>
          <w:rFonts w:ascii="Aptos Light" w:hAnsi="Aptos Light"/>
          <w:b/>
          <w:bCs/>
          <w:sz w:val="22"/>
          <w:szCs w:val="22"/>
          <w:lang w:eastAsia="en-GB"/>
        </w:rPr>
      </w:pPr>
      <w:r w:rsidRPr="00417963">
        <w:rPr>
          <w:rFonts w:ascii="Aptos Light" w:hAnsi="Aptos Light"/>
          <w:b/>
          <w:bCs/>
          <w:sz w:val="22"/>
          <w:szCs w:val="22"/>
          <w:lang w:eastAsia="en-GB"/>
        </w:rPr>
        <w:t>4. The Degree to Which BCB 2025 Is Likely to Be Compelling and Interesting to a Visitor or Audience Member</w:t>
      </w:r>
    </w:p>
    <w:p w14:paraId="19FB01DC" w14:textId="77777777" w:rsidR="00417963" w:rsidRPr="00417963" w:rsidRDefault="00417963" w:rsidP="00417963">
      <w:pPr>
        <w:rPr>
          <w:rFonts w:ascii="Aptos Light" w:hAnsi="Aptos Light"/>
          <w:b/>
          <w:bCs/>
          <w:sz w:val="22"/>
          <w:szCs w:val="22"/>
          <w:lang w:eastAsia="en-GB"/>
        </w:rPr>
      </w:pPr>
    </w:p>
    <w:p w14:paraId="5D79AE98"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BCB 2025 offered a compelling and multifaceted experience for visitors, appealing to both specialist audiences and the wider public. The use of a single multi-venue site at the old Spode Factory created a sense of discovery and immersion. Visitors could explore a range of spaces, each with its own character and atmosphere, yet all connected through the unifying material of clay.</w:t>
      </w:r>
    </w:p>
    <w:p w14:paraId="387B507E" w14:textId="77777777" w:rsidR="00417963" w:rsidRPr="00417963" w:rsidRDefault="00417963" w:rsidP="00417963">
      <w:pPr>
        <w:rPr>
          <w:rFonts w:ascii="Aptos Light" w:hAnsi="Aptos Light"/>
          <w:sz w:val="22"/>
          <w:szCs w:val="22"/>
          <w:lang w:eastAsia="en-GB"/>
        </w:rPr>
      </w:pPr>
    </w:p>
    <w:p w14:paraId="202BF867"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The variety of exhibition types—from large-scale installations to intimate presentations and community projects—ensured that audiences could engage at multiple levels. Visitors interested in high-level artistic innovation could find depth and conceptual rigour in the Award exhibition, while those new to ceramics could enjoy the immediacy and accessibility of Fresh 25 or the interactive elements of Playscape. The inclusion of sound, scent, and film added additional points of sensory engagement, broadening the appeal beyond visual art alone.</w:t>
      </w:r>
    </w:p>
    <w:p w14:paraId="3D66422F" w14:textId="77777777" w:rsidR="00417963" w:rsidRPr="00417963" w:rsidRDefault="00417963" w:rsidP="00417963">
      <w:pPr>
        <w:rPr>
          <w:rFonts w:ascii="Aptos Light" w:hAnsi="Aptos Light"/>
          <w:sz w:val="22"/>
          <w:szCs w:val="22"/>
          <w:lang w:eastAsia="en-GB"/>
        </w:rPr>
      </w:pPr>
    </w:p>
    <w:p w14:paraId="51E55292" w14:textId="37D45A4F"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 xml:space="preserve">The Biennial’s educational and interpretive materials were also designed to support different forms of engagement. The website and printed guide provided clear overviews of each exhibition, and the accessible tone of the accompanying texts encouraged visitors to explore the works with curiosity. </w:t>
      </w:r>
      <w:r w:rsidR="00F62EFA" w:rsidRPr="00417963">
        <w:rPr>
          <w:rFonts w:ascii="Aptos Light" w:hAnsi="Aptos Light"/>
          <w:sz w:val="22"/>
          <w:szCs w:val="22"/>
          <w:lang w:eastAsia="en-GB"/>
        </w:rPr>
        <w:t>The full programme of events with o</w:t>
      </w:r>
      <w:r w:rsidRPr="00417963">
        <w:rPr>
          <w:rFonts w:ascii="Aptos Light" w:hAnsi="Aptos Light"/>
          <w:sz w:val="22"/>
          <w:szCs w:val="22"/>
          <w:lang w:eastAsia="en-GB"/>
        </w:rPr>
        <w:t xml:space="preserve">pportunities to encounter artists through talks, demonstrations, and workshops further </w:t>
      </w:r>
      <w:r w:rsidR="00F62EFA" w:rsidRPr="00417963">
        <w:rPr>
          <w:rFonts w:ascii="Aptos Light" w:hAnsi="Aptos Light"/>
          <w:sz w:val="22"/>
          <w:szCs w:val="22"/>
          <w:lang w:eastAsia="en-GB"/>
        </w:rPr>
        <w:t xml:space="preserve">enabled the </w:t>
      </w:r>
      <w:r w:rsidRPr="00417963">
        <w:rPr>
          <w:rFonts w:ascii="Aptos Light" w:hAnsi="Aptos Light"/>
          <w:sz w:val="22"/>
          <w:szCs w:val="22"/>
          <w:lang w:eastAsia="en-GB"/>
        </w:rPr>
        <w:t xml:space="preserve">public </w:t>
      </w:r>
      <w:r w:rsidR="00F62EFA" w:rsidRPr="00417963">
        <w:rPr>
          <w:rFonts w:ascii="Aptos Light" w:hAnsi="Aptos Light"/>
          <w:sz w:val="22"/>
          <w:szCs w:val="22"/>
          <w:lang w:eastAsia="en-GB"/>
        </w:rPr>
        <w:t xml:space="preserve">to deepen their </w:t>
      </w:r>
      <w:r w:rsidRPr="00417963">
        <w:rPr>
          <w:rFonts w:ascii="Aptos Light" w:hAnsi="Aptos Light"/>
          <w:sz w:val="22"/>
          <w:szCs w:val="22"/>
          <w:lang w:eastAsia="en-GB"/>
        </w:rPr>
        <w:t>understanding of contemporary ceramics practice.</w:t>
      </w:r>
    </w:p>
    <w:p w14:paraId="557F5D1D" w14:textId="77777777" w:rsidR="00417963" w:rsidRPr="00417963" w:rsidRDefault="00417963" w:rsidP="00417963">
      <w:pPr>
        <w:rPr>
          <w:rFonts w:ascii="Aptos Light" w:hAnsi="Aptos Light"/>
          <w:sz w:val="22"/>
          <w:szCs w:val="22"/>
          <w:lang w:eastAsia="en-GB"/>
        </w:rPr>
      </w:pPr>
    </w:p>
    <w:p w14:paraId="659D8BFF"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The festival successfully combined local relevance with international outlook. Visitors were able to engage with projects rooted in the community of Stoke-on-Trent while simultaneously encountering global voices and perspectives. This mix not only reflected the ongoing vitality of the local ceramics industry but also demonstrated its resonance with international debates about craft, sustainability, and cultural identity.</w:t>
      </w:r>
    </w:p>
    <w:p w14:paraId="0935E623" w14:textId="77777777" w:rsidR="00417963" w:rsidRPr="00417963" w:rsidRDefault="00417963" w:rsidP="00417963">
      <w:pPr>
        <w:rPr>
          <w:rFonts w:ascii="Aptos Light" w:hAnsi="Aptos Light"/>
          <w:sz w:val="22"/>
          <w:szCs w:val="22"/>
          <w:lang w:eastAsia="en-GB"/>
        </w:rPr>
      </w:pPr>
    </w:p>
    <w:p w14:paraId="6810911F" w14:textId="77777777"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That said, the visitor experience could be further enhanced by refining the spatial flow and thematic coherence across the site. Some visitors may have found the density of works in certain areas overwhelming, and clearer curatorial signposting—through thematic introductions or interpretive panels—would help contextualise the relationships between different exhibitions.</w:t>
      </w:r>
    </w:p>
    <w:p w14:paraId="3192B07D" w14:textId="77777777" w:rsidR="00BA45F8" w:rsidRDefault="00BA45F8" w:rsidP="00417963">
      <w:pPr>
        <w:rPr>
          <w:rFonts w:ascii="Aptos Light" w:hAnsi="Aptos Light"/>
          <w:sz w:val="22"/>
          <w:szCs w:val="22"/>
          <w:lang w:eastAsia="en-GB"/>
        </w:rPr>
      </w:pPr>
    </w:p>
    <w:p w14:paraId="5E9C4A25" w14:textId="4EABD838"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 xml:space="preserve">Overall, BCB 2025 offered an engaging, thought-provoking, and visually rich experience. Its combination of artistic excellence, community engagement, and global perspectives made it both </w:t>
      </w:r>
      <w:r w:rsidR="000808CB" w:rsidRPr="00417963">
        <w:rPr>
          <w:rFonts w:ascii="Aptos Light" w:hAnsi="Aptos Light"/>
          <w:sz w:val="22"/>
          <w:szCs w:val="22"/>
          <w:lang w:eastAsia="en-GB"/>
        </w:rPr>
        <w:t xml:space="preserve">an </w:t>
      </w:r>
      <w:r w:rsidRPr="00417963">
        <w:rPr>
          <w:rFonts w:ascii="Aptos Light" w:hAnsi="Aptos Light"/>
          <w:sz w:val="22"/>
          <w:szCs w:val="22"/>
          <w:lang w:eastAsia="en-GB"/>
        </w:rPr>
        <w:t>accessible and intellectually stimulatin</w:t>
      </w:r>
      <w:r w:rsidR="000808CB" w:rsidRPr="00417963">
        <w:rPr>
          <w:rFonts w:ascii="Aptos Light" w:hAnsi="Aptos Light"/>
          <w:sz w:val="22"/>
          <w:szCs w:val="22"/>
          <w:lang w:eastAsia="en-GB"/>
        </w:rPr>
        <w:t xml:space="preserve">g visitor experience. </w:t>
      </w:r>
    </w:p>
    <w:p w14:paraId="0EC27DA9" w14:textId="77777777" w:rsidR="00A31535" w:rsidRDefault="00A31535" w:rsidP="00417963">
      <w:pPr>
        <w:rPr>
          <w:rFonts w:ascii="Aptos Light" w:hAnsi="Aptos Light"/>
          <w:sz w:val="22"/>
          <w:szCs w:val="22"/>
          <w:lang w:eastAsia="en-GB"/>
        </w:rPr>
      </w:pPr>
    </w:p>
    <w:p w14:paraId="71209B11" w14:textId="77777777" w:rsidR="00964FAB" w:rsidRDefault="00964FAB" w:rsidP="00417963">
      <w:pPr>
        <w:rPr>
          <w:rFonts w:ascii="Aptos Light" w:hAnsi="Aptos Light"/>
          <w:sz w:val="22"/>
          <w:szCs w:val="22"/>
          <w:lang w:eastAsia="en-GB"/>
        </w:rPr>
      </w:pPr>
    </w:p>
    <w:p w14:paraId="3B6DE06C" w14:textId="77777777" w:rsidR="00417963" w:rsidRDefault="00417963" w:rsidP="00417963">
      <w:pPr>
        <w:rPr>
          <w:rFonts w:ascii="Aptos Light" w:hAnsi="Aptos Light"/>
          <w:sz w:val="22"/>
          <w:szCs w:val="22"/>
          <w:lang w:eastAsia="en-GB"/>
        </w:rPr>
      </w:pPr>
    </w:p>
    <w:p w14:paraId="5C901E32" w14:textId="77777777" w:rsidR="00681002" w:rsidRPr="00417963" w:rsidRDefault="00681002" w:rsidP="00417963">
      <w:pPr>
        <w:rPr>
          <w:rFonts w:ascii="Aptos Light" w:hAnsi="Aptos Light"/>
          <w:sz w:val="22"/>
          <w:szCs w:val="22"/>
          <w:lang w:eastAsia="en-GB"/>
        </w:rPr>
      </w:pPr>
    </w:p>
    <w:p w14:paraId="053972B8" w14:textId="77777777" w:rsidR="00A31535" w:rsidRDefault="00A31535" w:rsidP="00417963">
      <w:pPr>
        <w:rPr>
          <w:rFonts w:ascii="Aptos Light" w:hAnsi="Aptos Light"/>
          <w:b/>
          <w:bCs/>
          <w:sz w:val="22"/>
          <w:szCs w:val="22"/>
          <w:lang w:eastAsia="en-GB"/>
        </w:rPr>
      </w:pPr>
      <w:r w:rsidRPr="00417963">
        <w:rPr>
          <w:rFonts w:ascii="Aptos Light" w:hAnsi="Aptos Light"/>
          <w:b/>
          <w:bCs/>
          <w:sz w:val="22"/>
          <w:szCs w:val="22"/>
          <w:lang w:eastAsia="en-GB"/>
        </w:rPr>
        <w:lastRenderedPageBreak/>
        <w:t>5. The Degree of Rigour in How BCB 2025 Is Produced and Presented</w:t>
      </w:r>
    </w:p>
    <w:p w14:paraId="243CF553" w14:textId="77777777" w:rsidR="00417963" w:rsidRPr="00417963" w:rsidRDefault="00417963" w:rsidP="00417963">
      <w:pPr>
        <w:rPr>
          <w:rFonts w:ascii="Aptos Light" w:hAnsi="Aptos Light"/>
          <w:b/>
          <w:bCs/>
          <w:sz w:val="22"/>
          <w:szCs w:val="22"/>
          <w:lang w:eastAsia="en-GB"/>
        </w:rPr>
      </w:pPr>
    </w:p>
    <w:p w14:paraId="07F2A0AA"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BCB 2025 demonstrated a high level of rigour in both its production values and presentation. The thoughtful design and intelligent use of materials reflected a well-organised and resourceful approach to exhibition-making, consistent with the Biennial’s ethos of sustainability and care.</w:t>
      </w:r>
    </w:p>
    <w:p w14:paraId="01CB4B70" w14:textId="77777777" w:rsidR="00681002" w:rsidRPr="00417963" w:rsidRDefault="00681002" w:rsidP="00417963">
      <w:pPr>
        <w:rPr>
          <w:rFonts w:ascii="Aptos Light" w:hAnsi="Aptos Light"/>
          <w:sz w:val="22"/>
          <w:szCs w:val="22"/>
          <w:lang w:eastAsia="en-GB"/>
        </w:rPr>
      </w:pPr>
    </w:p>
    <w:p w14:paraId="6E1D9742" w14:textId="63898493" w:rsidR="00417963" w:rsidRPr="00BA45F8" w:rsidRDefault="00A31535" w:rsidP="00417963">
      <w:pPr>
        <w:rPr>
          <w:rFonts w:ascii="Aptos Light" w:hAnsi="Aptos Light"/>
          <w:b/>
          <w:bCs/>
          <w:sz w:val="22"/>
          <w:szCs w:val="22"/>
          <w:lang w:eastAsia="en-GB"/>
        </w:rPr>
      </w:pPr>
      <w:r w:rsidRPr="00BA45F8">
        <w:rPr>
          <w:rFonts w:ascii="Aptos Light" w:hAnsi="Aptos Light"/>
          <w:b/>
          <w:bCs/>
          <w:sz w:val="22"/>
          <w:szCs w:val="22"/>
          <w:lang w:eastAsia="en-GB"/>
        </w:rPr>
        <w:t>Exhibition Design and Build</w:t>
      </w:r>
    </w:p>
    <w:p w14:paraId="5F3F141B"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The exhibition design across the site was both functional and conceptually responsive to the industrial setting of the old Spode Factory. Materials such as steel scaffolding, factory trolleys, and kiln shelves referenced the building’s heritage while creating a unified aesthetic that felt authentic to place. Much of the exhibition furniture appeared to be constructed from reused or locally sourced materials, underscoring the Biennial’s environmental commitments. This reuse-and-recycle approach not only reflected industry best practice but also offered a visual and philosophical coherence between content and display.</w:t>
      </w:r>
    </w:p>
    <w:p w14:paraId="4B838108" w14:textId="77777777" w:rsidR="00417963" w:rsidRPr="00417963" w:rsidRDefault="00417963" w:rsidP="00417963">
      <w:pPr>
        <w:rPr>
          <w:rFonts w:ascii="Aptos Light" w:hAnsi="Aptos Light"/>
          <w:sz w:val="22"/>
          <w:szCs w:val="22"/>
          <w:lang w:eastAsia="en-GB"/>
        </w:rPr>
      </w:pPr>
    </w:p>
    <w:p w14:paraId="11F342D4"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The installation of the Award exhibition</w:t>
      </w:r>
      <w:proofErr w:type="gramStart"/>
      <w:r w:rsidRPr="00417963">
        <w:rPr>
          <w:rFonts w:ascii="Aptos Light" w:hAnsi="Aptos Light"/>
          <w:sz w:val="22"/>
          <w:szCs w:val="22"/>
          <w:lang w:eastAsia="en-GB"/>
        </w:rPr>
        <w:t>, in particular, was</w:t>
      </w:r>
      <w:proofErr w:type="gramEnd"/>
      <w:r w:rsidRPr="00417963">
        <w:rPr>
          <w:rFonts w:ascii="Aptos Light" w:hAnsi="Aptos Light"/>
          <w:sz w:val="22"/>
          <w:szCs w:val="22"/>
          <w:lang w:eastAsia="en-GB"/>
        </w:rPr>
        <w:t xml:space="preserve"> considered and varied. Each artist’s work was presented in a way that complemented their individual practice, demonstrating sensitivity and flexibility on the part of the curatorial and technical teams. This attention to detail reinforced the festival’s commitment to quality and professionalism.</w:t>
      </w:r>
    </w:p>
    <w:p w14:paraId="24C581BB" w14:textId="77777777" w:rsidR="00417963" w:rsidRPr="00417963" w:rsidRDefault="00417963" w:rsidP="00417963">
      <w:pPr>
        <w:rPr>
          <w:rFonts w:ascii="Aptos Light" w:hAnsi="Aptos Light"/>
          <w:sz w:val="22"/>
          <w:szCs w:val="22"/>
          <w:lang w:eastAsia="en-GB"/>
        </w:rPr>
      </w:pPr>
    </w:p>
    <w:p w14:paraId="3C578287" w14:textId="77777777" w:rsidR="00A31535" w:rsidRPr="00417963" w:rsidRDefault="00A31535" w:rsidP="00417963">
      <w:pPr>
        <w:rPr>
          <w:rFonts w:ascii="Aptos Light" w:hAnsi="Aptos Light"/>
          <w:b/>
          <w:bCs/>
          <w:sz w:val="22"/>
          <w:szCs w:val="22"/>
          <w:lang w:eastAsia="en-GB"/>
        </w:rPr>
      </w:pPr>
      <w:r w:rsidRPr="00417963">
        <w:rPr>
          <w:rFonts w:ascii="Aptos Light" w:hAnsi="Aptos Light"/>
          <w:b/>
          <w:bCs/>
          <w:sz w:val="22"/>
          <w:szCs w:val="22"/>
          <w:lang w:eastAsia="en-GB"/>
        </w:rPr>
        <w:t>Interpretation and Signage</w:t>
      </w:r>
    </w:p>
    <w:p w14:paraId="043741C6" w14:textId="7777777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The printed guide and on-site signage were clear and informative, helping visitors navigate the extensive site. However, in an exhibition of this scale, the hierarchy of information could have been more distinct. Each venue would have benefited from an introductory wall text outlining what visitors were about to experience—information that was available in the guide but not always visible within the exhibition spaces themselves.</w:t>
      </w:r>
    </w:p>
    <w:p w14:paraId="762B0398" w14:textId="77777777" w:rsidR="00417963" w:rsidRPr="00417963" w:rsidRDefault="00417963" w:rsidP="00417963">
      <w:pPr>
        <w:rPr>
          <w:rFonts w:ascii="Aptos Light" w:hAnsi="Aptos Light"/>
          <w:sz w:val="22"/>
          <w:szCs w:val="22"/>
          <w:lang w:eastAsia="en-GB"/>
        </w:rPr>
      </w:pPr>
    </w:p>
    <w:p w14:paraId="56E2FC68" w14:textId="77777777"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Label text was generally strong and insightful, though there was some inconsistency in tone, length, and focus across different exhibitions. A more uniform editorial approach could improve the visitor experience and enhance the Biennial’s overall coherence.</w:t>
      </w:r>
    </w:p>
    <w:p w14:paraId="4E74B31B" w14:textId="77777777" w:rsidR="00BA45F8" w:rsidRDefault="00BA45F8" w:rsidP="00417963">
      <w:pPr>
        <w:rPr>
          <w:rFonts w:ascii="Aptos Light" w:hAnsi="Aptos Light"/>
          <w:sz w:val="22"/>
          <w:szCs w:val="22"/>
          <w:lang w:eastAsia="en-GB"/>
        </w:rPr>
      </w:pPr>
    </w:p>
    <w:p w14:paraId="5CF9F374" w14:textId="2DAFDB16"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The “sustainability statements” provided by the Award exhibitors were an innovative and valuable addition. These reflections allowed visitors to understand how makers engage with sustainable thinking within their practice. However, their inclusion within the main wall labels occasionally made the text overly long and fragmented. Presenting these statements separately—perhaps as a dedicated resource or reading station—could make them more accessible and easier to engage with.</w:t>
      </w:r>
    </w:p>
    <w:p w14:paraId="75E221AE" w14:textId="77777777" w:rsidR="00893BDC" w:rsidRDefault="00893BDC" w:rsidP="00417963">
      <w:pPr>
        <w:rPr>
          <w:rFonts w:ascii="Aptos Light" w:hAnsi="Aptos Light"/>
          <w:sz w:val="22"/>
          <w:szCs w:val="22"/>
          <w:lang w:eastAsia="en-GB"/>
        </w:rPr>
      </w:pPr>
    </w:p>
    <w:p w14:paraId="6682133C" w14:textId="4D88461F" w:rsidR="00893BDC" w:rsidRDefault="00893BDC" w:rsidP="00417963">
      <w:pPr>
        <w:rPr>
          <w:rFonts w:ascii="Aptos Light" w:hAnsi="Aptos Light"/>
          <w:sz w:val="22"/>
          <w:szCs w:val="22"/>
          <w:lang w:eastAsia="en-GB"/>
        </w:rPr>
      </w:pPr>
      <w:r w:rsidRPr="00417963">
        <w:rPr>
          <w:rFonts w:ascii="Aptos Light" w:hAnsi="Aptos Light"/>
          <w:sz w:val="22"/>
          <w:szCs w:val="22"/>
          <w:lang w:eastAsia="en-GB"/>
        </w:rPr>
        <w:t xml:space="preserve">One notable curatorial decision was </w:t>
      </w:r>
      <w:r>
        <w:rPr>
          <w:rFonts w:ascii="Aptos Light" w:hAnsi="Aptos Light"/>
          <w:sz w:val="22"/>
          <w:szCs w:val="22"/>
          <w:lang w:eastAsia="en-GB"/>
        </w:rPr>
        <w:t xml:space="preserve">for the labels </w:t>
      </w:r>
      <w:r w:rsidRPr="00417963">
        <w:rPr>
          <w:rFonts w:ascii="Aptos Light" w:hAnsi="Aptos Light"/>
          <w:sz w:val="22"/>
          <w:szCs w:val="22"/>
          <w:lang w:eastAsia="en-GB"/>
        </w:rPr>
        <w:t>to focus primarily on the aesthetic and conceptual concerns of the works, rather than their technical or material processes. This emphasis aligns with the Biennial’s ambition to position ceramics within a broader contemporary art discourse. However, for visitors with a background or interest in making, the absence of detailed material or process information may have limited understanding. While accompanying videos may have addressed some of these aspects, a clearer curatorial rationale for this decision would have been welcome.</w:t>
      </w:r>
    </w:p>
    <w:p w14:paraId="0A38A2B7" w14:textId="77777777" w:rsidR="00417963" w:rsidRPr="00417963" w:rsidRDefault="00417963" w:rsidP="00417963">
      <w:pPr>
        <w:rPr>
          <w:rFonts w:ascii="Aptos Light" w:hAnsi="Aptos Light"/>
          <w:sz w:val="22"/>
          <w:szCs w:val="22"/>
          <w:lang w:eastAsia="en-GB"/>
        </w:rPr>
      </w:pPr>
    </w:p>
    <w:p w14:paraId="7BFD8287" w14:textId="77777777" w:rsidR="00A31535" w:rsidRPr="00417963" w:rsidRDefault="00A31535" w:rsidP="00417963">
      <w:pPr>
        <w:rPr>
          <w:rFonts w:ascii="Aptos Light" w:hAnsi="Aptos Light"/>
          <w:b/>
          <w:bCs/>
          <w:sz w:val="22"/>
          <w:szCs w:val="22"/>
          <w:lang w:eastAsia="en-GB"/>
        </w:rPr>
      </w:pPr>
      <w:r w:rsidRPr="00417963">
        <w:rPr>
          <w:rFonts w:ascii="Aptos Light" w:hAnsi="Aptos Light"/>
          <w:b/>
          <w:bCs/>
          <w:sz w:val="22"/>
          <w:szCs w:val="22"/>
          <w:lang w:eastAsia="en-GB"/>
        </w:rPr>
        <w:t>Website and Digital Presentation</w:t>
      </w:r>
    </w:p>
    <w:p w14:paraId="654FCAD5" w14:textId="6F19A788" w:rsidR="00893BDC" w:rsidRPr="00417963" w:rsidRDefault="00A31535" w:rsidP="00893BDC">
      <w:pPr>
        <w:rPr>
          <w:rFonts w:ascii="Aptos Light" w:hAnsi="Aptos Light"/>
          <w:sz w:val="22"/>
          <w:szCs w:val="22"/>
          <w:lang w:eastAsia="en-GB"/>
        </w:rPr>
      </w:pPr>
      <w:r w:rsidRPr="00417963">
        <w:rPr>
          <w:rFonts w:ascii="Aptos Light" w:hAnsi="Aptos Light"/>
          <w:sz w:val="22"/>
          <w:szCs w:val="22"/>
          <w:lang w:eastAsia="en-GB"/>
        </w:rPr>
        <w:t>The Biennial’s website was well-structured and easy to navigate. It provided layers of accessible information on each exhibition, artist, and event, allowing visitors to plan their experience and delve deeper into the content. The integration of digital resources with physical displays strengthened BCB’s accessibility and educational reach.</w:t>
      </w:r>
    </w:p>
    <w:p w14:paraId="7F40BE05" w14:textId="35C66279" w:rsidR="00A31535" w:rsidRDefault="00893BDC" w:rsidP="00417963">
      <w:pPr>
        <w:rPr>
          <w:rFonts w:ascii="Aptos Light" w:hAnsi="Aptos Light"/>
          <w:sz w:val="22"/>
          <w:szCs w:val="22"/>
          <w:lang w:eastAsia="en-GB"/>
        </w:rPr>
      </w:pPr>
      <w:r w:rsidRPr="00417963">
        <w:rPr>
          <w:rFonts w:ascii="Aptos Light" w:hAnsi="Aptos Light"/>
          <w:sz w:val="22"/>
          <w:szCs w:val="22"/>
          <w:lang w:eastAsia="en-GB"/>
        </w:rPr>
        <w:lastRenderedPageBreak/>
        <w:t xml:space="preserve">Overall, BCB 2025 was produced and presented to a consistently high standard. The curatorial, technical, and interpretive teams demonstrated professionalism, attention to detail, and a strong commitment to environmental and ethical practice. With small refinements </w:t>
      </w:r>
      <w:r w:rsidR="00BA45F8">
        <w:rPr>
          <w:rFonts w:ascii="Aptos Light" w:hAnsi="Aptos Light"/>
          <w:sz w:val="22"/>
          <w:szCs w:val="22"/>
          <w:lang w:eastAsia="en-GB"/>
        </w:rPr>
        <w:t>to a more egalitarian zoning of space,</w:t>
      </w:r>
      <w:r w:rsidRPr="00417963">
        <w:rPr>
          <w:rFonts w:ascii="Aptos Light" w:hAnsi="Aptos Light"/>
          <w:sz w:val="22"/>
          <w:szCs w:val="22"/>
          <w:lang w:eastAsia="en-GB"/>
        </w:rPr>
        <w:t xml:space="preserve"> interpretive hierarchy and the balance of conceptual versus technical information, the Biennial could elevate the visitor experience even further.</w:t>
      </w:r>
    </w:p>
    <w:p w14:paraId="71D1A56F" w14:textId="77777777" w:rsidR="00681002" w:rsidRDefault="00681002" w:rsidP="00417963">
      <w:pPr>
        <w:rPr>
          <w:rFonts w:ascii="Aptos Light" w:hAnsi="Aptos Light"/>
          <w:sz w:val="22"/>
          <w:szCs w:val="22"/>
          <w:lang w:eastAsia="en-GB"/>
        </w:rPr>
      </w:pPr>
    </w:p>
    <w:p w14:paraId="17CD1147" w14:textId="77777777" w:rsidR="00681002" w:rsidRDefault="00681002" w:rsidP="00417963">
      <w:pPr>
        <w:rPr>
          <w:rFonts w:ascii="Aptos Light" w:hAnsi="Aptos Light"/>
          <w:sz w:val="22"/>
          <w:szCs w:val="22"/>
          <w:lang w:eastAsia="en-GB"/>
        </w:rPr>
      </w:pPr>
    </w:p>
    <w:p w14:paraId="31D990E6" w14:textId="77777777" w:rsidR="00681002" w:rsidRDefault="00681002" w:rsidP="00417963">
      <w:pPr>
        <w:rPr>
          <w:rFonts w:ascii="Aptos Light" w:hAnsi="Aptos Light"/>
          <w:sz w:val="22"/>
          <w:szCs w:val="22"/>
          <w:lang w:eastAsia="en-GB"/>
        </w:rPr>
      </w:pPr>
    </w:p>
    <w:p w14:paraId="31FEEDB0" w14:textId="77777777" w:rsidR="00681002" w:rsidRPr="00BA45F8" w:rsidRDefault="00681002" w:rsidP="00417963">
      <w:pPr>
        <w:rPr>
          <w:rFonts w:ascii="Aptos Light" w:hAnsi="Aptos Light"/>
          <w:sz w:val="22"/>
          <w:szCs w:val="22"/>
          <w:lang w:eastAsia="en-GB"/>
        </w:rPr>
      </w:pPr>
    </w:p>
    <w:p w14:paraId="56D540C9" w14:textId="77777777" w:rsidR="00A31535" w:rsidRDefault="00A31535" w:rsidP="00417963">
      <w:pPr>
        <w:rPr>
          <w:rFonts w:ascii="Aptos Light" w:hAnsi="Aptos Light"/>
          <w:b/>
          <w:bCs/>
          <w:sz w:val="22"/>
          <w:szCs w:val="22"/>
          <w:lang w:eastAsia="en-GB"/>
        </w:rPr>
      </w:pPr>
      <w:r w:rsidRPr="00893BDC">
        <w:rPr>
          <w:rFonts w:ascii="Aptos Light" w:hAnsi="Aptos Light"/>
          <w:b/>
          <w:bCs/>
          <w:sz w:val="22"/>
          <w:szCs w:val="22"/>
          <w:lang w:eastAsia="en-GB"/>
        </w:rPr>
        <w:t>6. The Degree to Which BCB 2025 Contributes to the Wider Contemporary Ceramics Sector</w:t>
      </w:r>
    </w:p>
    <w:p w14:paraId="7709A540" w14:textId="77777777" w:rsidR="00893BDC" w:rsidRPr="00893BDC" w:rsidRDefault="00893BDC" w:rsidP="00417963">
      <w:pPr>
        <w:rPr>
          <w:rFonts w:ascii="Aptos Light" w:hAnsi="Aptos Light"/>
          <w:b/>
          <w:bCs/>
          <w:sz w:val="22"/>
          <w:szCs w:val="22"/>
          <w:lang w:eastAsia="en-GB"/>
        </w:rPr>
      </w:pPr>
    </w:p>
    <w:p w14:paraId="4E234D8A" w14:textId="77D27729"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 xml:space="preserve">Over its successive </w:t>
      </w:r>
      <w:r w:rsidR="00BA45F8">
        <w:rPr>
          <w:rFonts w:ascii="Aptos Light" w:hAnsi="Aptos Light"/>
          <w:sz w:val="22"/>
          <w:szCs w:val="22"/>
          <w:lang w:eastAsia="en-GB"/>
        </w:rPr>
        <w:t xml:space="preserve">nine </w:t>
      </w:r>
      <w:r w:rsidRPr="00417963">
        <w:rPr>
          <w:rFonts w:ascii="Aptos Light" w:hAnsi="Aptos Light"/>
          <w:sz w:val="22"/>
          <w:szCs w:val="22"/>
          <w:lang w:eastAsia="en-GB"/>
        </w:rPr>
        <w:t>editions, the BCB</w:t>
      </w:r>
      <w:r w:rsidR="00BA45F8">
        <w:rPr>
          <w:rFonts w:ascii="Aptos Light" w:hAnsi="Aptos Light"/>
          <w:sz w:val="22"/>
          <w:szCs w:val="22"/>
          <w:lang w:eastAsia="en-GB"/>
        </w:rPr>
        <w:t xml:space="preserve"> </w:t>
      </w:r>
      <w:r w:rsidRPr="00417963">
        <w:rPr>
          <w:rFonts w:ascii="Aptos Light" w:hAnsi="Aptos Light"/>
          <w:sz w:val="22"/>
          <w:szCs w:val="22"/>
          <w:lang w:eastAsia="en-GB"/>
        </w:rPr>
        <w:t>has firmly established itself as one of the most significant platforms for contemporary ceramics in the UK</w:t>
      </w:r>
      <w:r w:rsidR="00BA45F8">
        <w:rPr>
          <w:rFonts w:ascii="Aptos Light" w:hAnsi="Aptos Light"/>
          <w:sz w:val="22"/>
          <w:szCs w:val="22"/>
          <w:lang w:eastAsia="en-GB"/>
        </w:rPr>
        <w:t xml:space="preserve"> and internationally</w:t>
      </w:r>
      <w:r w:rsidRPr="00417963">
        <w:rPr>
          <w:rFonts w:ascii="Aptos Light" w:hAnsi="Aptos Light"/>
          <w:sz w:val="22"/>
          <w:szCs w:val="22"/>
          <w:lang w:eastAsia="en-GB"/>
        </w:rPr>
        <w:t>. BCB 2025 continues to strengthen this position, offering a comprehensive snapshot of current ceramic practice while actively shaping conversations around the material’s relevance, innovation, and social impact.</w:t>
      </w:r>
    </w:p>
    <w:p w14:paraId="09273F0A" w14:textId="77777777" w:rsidR="00BA45F8" w:rsidRDefault="00BA45F8" w:rsidP="00417963">
      <w:pPr>
        <w:rPr>
          <w:rFonts w:ascii="Aptos Light" w:hAnsi="Aptos Light"/>
          <w:sz w:val="22"/>
          <w:szCs w:val="22"/>
          <w:lang w:eastAsia="en-GB"/>
        </w:rPr>
      </w:pPr>
    </w:p>
    <w:p w14:paraId="3B627DE6" w14:textId="60326A5C"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 xml:space="preserve">The Biennial’s influence extends beyond the exhibitions themselves. Through initiatives such as </w:t>
      </w:r>
      <w:r w:rsidR="002F589E" w:rsidRPr="00417963">
        <w:rPr>
          <w:rFonts w:ascii="Aptos Light" w:hAnsi="Aptos Light"/>
          <w:sz w:val="22"/>
          <w:szCs w:val="22"/>
          <w:lang w:eastAsia="en-GB"/>
        </w:rPr>
        <w:t xml:space="preserve">Slip Tales, </w:t>
      </w:r>
      <w:r w:rsidRPr="00417963">
        <w:rPr>
          <w:rFonts w:ascii="Aptos Light" w:hAnsi="Aptos Light"/>
          <w:sz w:val="22"/>
          <w:szCs w:val="22"/>
          <w:lang w:eastAsia="en-GB"/>
        </w:rPr>
        <w:t xml:space="preserve">Fresh Talent and Ceramic Cities Exchange, BCB demonstrates a sustained commitment to education, </w:t>
      </w:r>
      <w:r w:rsidR="002F589E" w:rsidRPr="00417963">
        <w:rPr>
          <w:rFonts w:ascii="Aptos Light" w:hAnsi="Aptos Light"/>
          <w:sz w:val="22"/>
          <w:szCs w:val="22"/>
          <w:lang w:eastAsia="en-GB"/>
        </w:rPr>
        <w:t xml:space="preserve">professional development, </w:t>
      </w:r>
      <w:r w:rsidRPr="00417963">
        <w:rPr>
          <w:rFonts w:ascii="Aptos Light" w:hAnsi="Aptos Light"/>
          <w:sz w:val="22"/>
          <w:szCs w:val="22"/>
          <w:lang w:eastAsia="en-GB"/>
        </w:rPr>
        <w:t>and collaboration. By maintaining long-term relationships with artists, institutions, and community groups, it plays a vital role in supporting the career progression of makers at all stages. This model—where residencies, commissions, and exhibitions form part of an ongoing cycle—ensures that the Biennial’s impact resonates far beyond the festival’s duration.</w:t>
      </w:r>
    </w:p>
    <w:p w14:paraId="79A583FA" w14:textId="77777777" w:rsidR="00893BDC" w:rsidRPr="00417963" w:rsidRDefault="00893BDC" w:rsidP="00417963">
      <w:pPr>
        <w:rPr>
          <w:rFonts w:ascii="Aptos Light" w:hAnsi="Aptos Light"/>
          <w:sz w:val="22"/>
          <w:szCs w:val="22"/>
          <w:lang w:eastAsia="en-GB"/>
        </w:rPr>
      </w:pPr>
    </w:p>
    <w:p w14:paraId="4C84C76E" w14:textId="77777777"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BCB also serves as an important bridge between heritage and innovation. Situated in Stoke-on-Trent, the historic heart of the British ceramics industry, the Biennial connects contemporary practice with the city’s industrial legacy. This relationship gives the event both authenticity and depth, positioning it as a crucial advocate for ceramics as a living and evolving discipline. By highlighting how traditional skills and materials can be reimagined within a contemporary context, BCB reinforces the continued relevance of ceramics within the UK’s cultural and economic landscape.</w:t>
      </w:r>
    </w:p>
    <w:p w14:paraId="36AE8FDE" w14:textId="77777777" w:rsidR="00BA45F8" w:rsidRDefault="00BA45F8" w:rsidP="00417963">
      <w:pPr>
        <w:rPr>
          <w:rFonts w:ascii="Aptos Light" w:hAnsi="Aptos Light"/>
          <w:sz w:val="22"/>
          <w:szCs w:val="22"/>
          <w:lang w:eastAsia="en-GB"/>
        </w:rPr>
      </w:pPr>
    </w:p>
    <w:p w14:paraId="1CE3AFDD" w14:textId="41AA2086"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Internationally, BCB 2025 has begun to assert a stronger voice. The inclusion of the Clay Films programme and collaborative projects such as the Ceramic Cities Exchange reflect a growing ambition to situate British ceramics within a global conversation. By inviting artists from diverse cultural backgrounds and creating opportunities for cross-border dialogue, the Biennial not only broadens its reach but also enriches the perspectives represented within the festival.</w:t>
      </w:r>
    </w:p>
    <w:p w14:paraId="68ACD0E6" w14:textId="77777777" w:rsidR="00893BDC" w:rsidRPr="00417963" w:rsidRDefault="00893BDC" w:rsidP="00417963">
      <w:pPr>
        <w:rPr>
          <w:rFonts w:ascii="Aptos Light" w:hAnsi="Aptos Light"/>
          <w:sz w:val="22"/>
          <w:szCs w:val="22"/>
          <w:lang w:eastAsia="en-GB"/>
        </w:rPr>
      </w:pPr>
    </w:p>
    <w:p w14:paraId="65DE7026" w14:textId="77777777" w:rsidR="00A31535" w:rsidRPr="00417963" w:rsidRDefault="00A31535" w:rsidP="00417963">
      <w:pPr>
        <w:rPr>
          <w:rFonts w:ascii="Aptos Light" w:hAnsi="Aptos Light"/>
          <w:sz w:val="22"/>
          <w:szCs w:val="22"/>
          <w:lang w:eastAsia="en-GB"/>
        </w:rPr>
      </w:pPr>
      <w:r w:rsidRPr="00417963">
        <w:rPr>
          <w:rFonts w:ascii="Aptos Light" w:hAnsi="Aptos Light"/>
          <w:sz w:val="22"/>
          <w:szCs w:val="22"/>
          <w:lang w:eastAsia="en-GB"/>
        </w:rPr>
        <w:t>In addition, BCB’s commitment to sustainability, inclusivity, and social engagement aligns it with key priorities in the wider creative sector. Many participating artists addressed environmental responsibility and social connection through clay, while the festival’s own practices demonstrated a conscious effort to reduce environmental impact. These approaches model progressive values that the ceramics community—and indeed the wider arts sector—can learn from.</w:t>
      </w:r>
    </w:p>
    <w:p w14:paraId="77244AC4" w14:textId="77777777" w:rsidR="00893BDC" w:rsidRDefault="00893BDC" w:rsidP="00417963">
      <w:pPr>
        <w:rPr>
          <w:rFonts w:ascii="Aptos Light" w:hAnsi="Aptos Light"/>
          <w:sz w:val="22"/>
          <w:szCs w:val="22"/>
          <w:lang w:eastAsia="en-GB"/>
        </w:rPr>
      </w:pPr>
    </w:p>
    <w:p w14:paraId="21814ADB" w14:textId="48D6E537" w:rsidR="00A31535" w:rsidRDefault="00A31535" w:rsidP="00417963">
      <w:pPr>
        <w:rPr>
          <w:rFonts w:ascii="Aptos Light" w:hAnsi="Aptos Light"/>
          <w:sz w:val="22"/>
          <w:szCs w:val="22"/>
          <w:lang w:eastAsia="en-GB"/>
        </w:rPr>
      </w:pPr>
      <w:r w:rsidRPr="00417963">
        <w:rPr>
          <w:rFonts w:ascii="Aptos Light" w:hAnsi="Aptos Light"/>
          <w:sz w:val="22"/>
          <w:szCs w:val="22"/>
          <w:lang w:eastAsia="en-GB"/>
        </w:rPr>
        <w:t>Overall, BCB 2025 makes a substantial contribution to the contemporary ceramics field. It functions as both a showcase and a catalyst: revealing the current state of ceramic practice while actively influencing its future direction. Through its exhibitions, partnerships, and public engagement, the Biennial continues to expand the visibility, understanding, and appreciation of ceramics on a national and international scale.</w:t>
      </w:r>
    </w:p>
    <w:p w14:paraId="4CE984EA" w14:textId="77777777" w:rsidR="00893BDC" w:rsidRDefault="00893BDC" w:rsidP="00417963">
      <w:pPr>
        <w:rPr>
          <w:rFonts w:ascii="Aptos Light" w:hAnsi="Aptos Light"/>
          <w:sz w:val="22"/>
          <w:szCs w:val="22"/>
          <w:lang w:eastAsia="en-GB"/>
        </w:rPr>
      </w:pPr>
    </w:p>
    <w:p w14:paraId="76BE48C4" w14:textId="77777777" w:rsidR="00893BDC" w:rsidRPr="00417963" w:rsidRDefault="00893BDC" w:rsidP="00417963">
      <w:pPr>
        <w:rPr>
          <w:rFonts w:ascii="Aptos Light" w:hAnsi="Aptos Light"/>
          <w:sz w:val="22"/>
          <w:szCs w:val="22"/>
          <w:lang w:eastAsia="en-GB"/>
        </w:rPr>
      </w:pPr>
    </w:p>
    <w:p w14:paraId="5E0E9C0C" w14:textId="77777777" w:rsidR="002F6EA5" w:rsidRPr="00893BDC" w:rsidRDefault="002F6EA5" w:rsidP="00417963">
      <w:pPr>
        <w:rPr>
          <w:rFonts w:ascii="Aptos Light" w:hAnsi="Aptos Light"/>
          <w:b/>
          <w:bCs/>
          <w:sz w:val="22"/>
          <w:szCs w:val="22"/>
          <w:lang w:eastAsia="en-GB"/>
        </w:rPr>
      </w:pPr>
      <w:r w:rsidRPr="00893BDC">
        <w:rPr>
          <w:rFonts w:ascii="Aptos Light" w:hAnsi="Aptos Light"/>
          <w:b/>
          <w:bCs/>
          <w:sz w:val="22"/>
          <w:szCs w:val="22"/>
          <w:lang w:eastAsia="en-GB"/>
        </w:rPr>
        <w:lastRenderedPageBreak/>
        <w:t>7. Any Other Aspects You Wish to Comment Upon</w:t>
      </w:r>
    </w:p>
    <w:p w14:paraId="31C1F72F" w14:textId="77777777" w:rsidR="00893BDC" w:rsidRDefault="00893BDC" w:rsidP="00417963">
      <w:pPr>
        <w:rPr>
          <w:rFonts w:ascii="Aptos Light" w:hAnsi="Aptos Light"/>
          <w:sz w:val="22"/>
          <w:szCs w:val="22"/>
          <w:lang w:eastAsia="en-GB"/>
        </w:rPr>
      </w:pPr>
    </w:p>
    <w:p w14:paraId="71856AB2" w14:textId="6E8289FC" w:rsidR="002F6EA5" w:rsidRDefault="002F6EA5" w:rsidP="00417963">
      <w:pPr>
        <w:rPr>
          <w:rFonts w:ascii="Aptos Light" w:hAnsi="Aptos Light"/>
          <w:sz w:val="22"/>
          <w:szCs w:val="22"/>
          <w:lang w:eastAsia="en-GB"/>
        </w:rPr>
      </w:pPr>
      <w:r w:rsidRPr="00417963">
        <w:rPr>
          <w:rFonts w:ascii="Aptos Light" w:hAnsi="Aptos Light"/>
          <w:sz w:val="22"/>
          <w:szCs w:val="22"/>
          <w:lang w:eastAsia="en-GB"/>
        </w:rPr>
        <w:t>BCB 2025 succeeded in presenting an ambitious and inclusive overview of contemporary ceramics while maintaining a distinctive identity rooted in Stoke-on-Trent’s heritage. The balance between established artists, emerging makers, and community-led projects was one of the festival’s major strengths. It not only showcased artistic excellence but also revealed the social</w:t>
      </w:r>
      <w:r w:rsidR="005C517F">
        <w:rPr>
          <w:rFonts w:ascii="Aptos Light" w:hAnsi="Aptos Light"/>
          <w:sz w:val="22"/>
          <w:szCs w:val="22"/>
          <w:lang w:eastAsia="en-GB"/>
        </w:rPr>
        <w:t>,</w:t>
      </w:r>
      <w:r w:rsidR="000359FF">
        <w:rPr>
          <w:rFonts w:ascii="Aptos Light" w:hAnsi="Aptos Light"/>
          <w:sz w:val="22"/>
          <w:szCs w:val="22"/>
          <w:lang w:eastAsia="en-GB"/>
        </w:rPr>
        <w:t xml:space="preserve"> </w:t>
      </w:r>
      <w:r w:rsidRPr="00417963">
        <w:rPr>
          <w:rFonts w:ascii="Aptos Light" w:hAnsi="Aptos Light"/>
          <w:sz w:val="22"/>
          <w:szCs w:val="22"/>
          <w:lang w:eastAsia="en-GB"/>
        </w:rPr>
        <w:t xml:space="preserve">educational </w:t>
      </w:r>
      <w:r w:rsidR="005C517F">
        <w:rPr>
          <w:rFonts w:ascii="Aptos Light" w:hAnsi="Aptos Light"/>
          <w:sz w:val="22"/>
          <w:szCs w:val="22"/>
          <w:lang w:eastAsia="en-GB"/>
        </w:rPr>
        <w:t xml:space="preserve">and health </w:t>
      </w:r>
      <w:r w:rsidRPr="00417963">
        <w:rPr>
          <w:rFonts w:ascii="Aptos Light" w:hAnsi="Aptos Light"/>
          <w:sz w:val="22"/>
          <w:szCs w:val="22"/>
          <w:lang w:eastAsia="en-GB"/>
        </w:rPr>
        <w:t>value of working with clay.</w:t>
      </w:r>
    </w:p>
    <w:p w14:paraId="73212317" w14:textId="77777777" w:rsidR="00893BDC" w:rsidRPr="00417963" w:rsidRDefault="00893BDC" w:rsidP="00417963">
      <w:pPr>
        <w:rPr>
          <w:rFonts w:ascii="Aptos Light" w:hAnsi="Aptos Light"/>
          <w:sz w:val="22"/>
          <w:szCs w:val="22"/>
          <w:lang w:eastAsia="en-GB"/>
        </w:rPr>
      </w:pPr>
    </w:p>
    <w:p w14:paraId="265B35E9" w14:textId="77777777" w:rsidR="002F6EA5" w:rsidRDefault="002F6EA5" w:rsidP="00417963">
      <w:pPr>
        <w:rPr>
          <w:rFonts w:ascii="Aptos Light" w:hAnsi="Aptos Light"/>
          <w:sz w:val="22"/>
          <w:szCs w:val="22"/>
          <w:lang w:eastAsia="en-GB"/>
        </w:rPr>
      </w:pPr>
      <w:r w:rsidRPr="00417963">
        <w:rPr>
          <w:rFonts w:ascii="Aptos Light" w:hAnsi="Aptos Light"/>
          <w:sz w:val="22"/>
          <w:szCs w:val="22"/>
          <w:lang w:eastAsia="en-GB"/>
        </w:rPr>
        <w:t>The atmosphere across the festival was generous and welcoming, encouraging dialogue between artists, audiences, and industry professionals. The integration of local volunteers, students, and community participants contributed to this sense of openness and shared ownership. These elements make the Biennial feel less like a traditional exhibition and more like a living platform for exchange, which is one of its defining achievements.</w:t>
      </w:r>
    </w:p>
    <w:p w14:paraId="58F76F4D" w14:textId="77777777" w:rsidR="00893BDC" w:rsidRPr="00417963" w:rsidRDefault="00893BDC" w:rsidP="00417963">
      <w:pPr>
        <w:rPr>
          <w:rFonts w:ascii="Aptos Light" w:hAnsi="Aptos Light"/>
          <w:sz w:val="22"/>
          <w:szCs w:val="22"/>
          <w:lang w:eastAsia="en-GB"/>
        </w:rPr>
      </w:pPr>
    </w:p>
    <w:p w14:paraId="1430003E" w14:textId="77777777" w:rsidR="002F6EA5" w:rsidRDefault="002F6EA5" w:rsidP="00417963">
      <w:pPr>
        <w:rPr>
          <w:rFonts w:ascii="Aptos Light" w:hAnsi="Aptos Light"/>
          <w:sz w:val="22"/>
          <w:szCs w:val="22"/>
          <w:lang w:eastAsia="en-GB"/>
        </w:rPr>
      </w:pPr>
      <w:r w:rsidRPr="00417963">
        <w:rPr>
          <w:rFonts w:ascii="Aptos Light" w:hAnsi="Aptos Light"/>
          <w:sz w:val="22"/>
          <w:szCs w:val="22"/>
          <w:lang w:eastAsia="en-GB"/>
        </w:rPr>
        <w:t>Looking forward, the Biennial could further strengthen its impact through more visible interpretive threads that help visitors connect the diverse strands of the programme. Opportunities also exist to deepen partnerships with international institutions, expand research outputs, and continue embedding sustainability into every aspect of production and programming.</w:t>
      </w:r>
    </w:p>
    <w:p w14:paraId="69D37CA8" w14:textId="77777777" w:rsidR="00893BDC" w:rsidRPr="00417963" w:rsidRDefault="00893BDC" w:rsidP="00417963">
      <w:pPr>
        <w:rPr>
          <w:rFonts w:ascii="Aptos Light" w:hAnsi="Aptos Light"/>
          <w:sz w:val="22"/>
          <w:szCs w:val="22"/>
          <w:lang w:eastAsia="en-GB"/>
        </w:rPr>
      </w:pPr>
    </w:p>
    <w:p w14:paraId="7FD872E2" w14:textId="2B6B2196" w:rsidR="002F6EA5" w:rsidRDefault="002F6EA5" w:rsidP="00417963">
      <w:pPr>
        <w:rPr>
          <w:rFonts w:ascii="Aptos Light" w:hAnsi="Aptos Light"/>
          <w:sz w:val="22"/>
          <w:szCs w:val="22"/>
          <w:lang w:eastAsia="en-GB"/>
        </w:rPr>
      </w:pPr>
      <w:r w:rsidRPr="00417963">
        <w:rPr>
          <w:rFonts w:ascii="Aptos Light" w:hAnsi="Aptos Light"/>
          <w:sz w:val="22"/>
          <w:szCs w:val="22"/>
          <w:lang w:eastAsia="en-GB"/>
        </w:rPr>
        <w:t>BCB’s organisational rigour, curatorial ambition, and commitment to inclusivity continue to set it apart. It is a festival that listens, evolves, and adapts—qualities that ensure its relevance and vitality within both the ceramics sector and the wider cultural landscape.</w:t>
      </w:r>
    </w:p>
    <w:p w14:paraId="5B74DB6E" w14:textId="77777777" w:rsidR="00893BDC" w:rsidRDefault="00893BDC" w:rsidP="00417963">
      <w:pPr>
        <w:rPr>
          <w:rFonts w:ascii="Aptos Light" w:hAnsi="Aptos Light"/>
          <w:sz w:val="22"/>
          <w:szCs w:val="22"/>
          <w:lang w:eastAsia="en-GB"/>
        </w:rPr>
      </w:pPr>
    </w:p>
    <w:p w14:paraId="4C94F377" w14:textId="77777777" w:rsidR="00893BDC" w:rsidRDefault="00893BDC" w:rsidP="00417963">
      <w:pPr>
        <w:rPr>
          <w:rFonts w:ascii="Aptos Light" w:hAnsi="Aptos Light"/>
          <w:sz w:val="22"/>
          <w:szCs w:val="22"/>
          <w:lang w:eastAsia="en-GB"/>
        </w:rPr>
      </w:pPr>
    </w:p>
    <w:p w14:paraId="6BA23E84" w14:textId="77777777" w:rsidR="00893BDC" w:rsidRDefault="00893BDC" w:rsidP="00417963">
      <w:pPr>
        <w:rPr>
          <w:rFonts w:ascii="Aptos Light" w:hAnsi="Aptos Light"/>
          <w:sz w:val="22"/>
          <w:szCs w:val="22"/>
          <w:lang w:eastAsia="en-GB"/>
        </w:rPr>
      </w:pPr>
    </w:p>
    <w:p w14:paraId="1135C52C" w14:textId="77777777" w:rsidR="00681002" w:rsidRPr="00417963" w:rsidRDefault="00681002" w:rsidP="00417963">
      <w:pPr>
        <w:rPr>
          <w:rFonts w:ascii="Aptos Light" w:hAnsi="Aptos Light"/>
          <w:sz w:val="22"/>
          <w:szCs w:val="22"/>
          <w:lang w:eastAsia="en-GB"/>
        </w:rPr>
      </w:pPr>
    </w:p>
    <w:p w14:paraId="2DBC48D4" w14:textId="77777777" w:rsidR="002F6EA5" w:rsidRDefault="002F6EA5" w:rsidP="00417963">
      <w:pPr>
        <w:rPr>
          <w:rFonts w:ascii="Aptos Light" w:hAnsi="Aptos Light"/>
          <w:b/>
          <w:bCs/>
          <w:sz w:val="22"/>
          <w:szCs w:val="22"/>
          <w:lang w:eastAsia="en-GB"/>
        </w:rPr>
      </w:pPr>
      <w:r w:rsidRPr="00893BDC">
        <w:rPr>
          <w:rFonts w:ascii="Aptos Light" w:hAnsi="Aptos Light"/>
          <w:b/>
          <w:bCs/>
          <w:sz w:val="22"/>
          <w:szCs w:val="22"/>
          <w:lang w:eastAsia="en-GB"/>
        </w:rPr>
        <w:t>8. Overall Assessment of Artistic Quality</w:t>
      </w:r>
    </w:p>
    <w:p w14:paraId="5C0891FD" w14:textId="77777777" w:rsidR="00893BDC" w:rsidRPr="00893BDC" w:rsidRDefault="00893BDC" w:rsidP="00417963">
      <w:pPr>
        <w:rPr>
          <w:rFonts w:ascii="Aptos Light" w:hAnsi="Aptos Light"/>
          <w:b/>
          <w:bCs/>
          <w:sz w:val="22"/>
          <w:szCs w:val="22"/>
          <w:lang w:eastAsia="en-GB"/>
        </w:rPr>
      </w:pPr>
    </w:p>
    <w:p w14:paraId="2B42C91B" w14:textId="77777777" w:rsidR="002F6EA5" w:rsidRDefault="002F6EA5" w:rsidP="00417963">
      <w:pPr>
        <w:rPr>
          <w:rFonts w:ascii="Aptos Light" w:hAnsi="Aptos Light"/>
          <w:sz w:val="22"/>
          <w:szCs w:val="22"/>
          <w:lang w:eastAsia="en-GB"/>
        </w:rPr>
      </w:pPr>
      <w:r w:rsidRPr="00417963">
        <w:rPr>
          <w:rFonts w:ascii="Aptos Light" w:hAnsi="Aptos Light"/>
          <w:sz w:val="22"/>
          <w:szCs w:val="22"/>
          <w:lang w:eastAsia="en-GB"/>
        </w:rPr>
        <w:t>The artistic quality of BCB 2025 was consistently high across all areas of the programme. The Biennial achieved an impressive balance between conceptual depth, material excellence, and accessibility to a wide audience. The range of work—from award-winning practitioners to emerging artists and collaborative projects—demonstrated the diversity and sophistication of contemporary ceramic practice.</w:t>
      </w:r>
    </w:p>
    <w:p w14:paraId="4D1387BD" w14:textId="77777777" w:rsidR="00893BDC" w:rsidRPr="00417963" w:rsidRDefault="00893BDC" w:rsidP="00417963">
      <w:pPr>
        <w:rPr>
          <w:rFonts w:ascii="Aptos Light" w:hAnsi="Aptos Light"/>
          <w:sz w:val="22"/>
          <w:szCs w:val="22"/>
          <w:lang w:eastAsia="en-GB"/>
        </w:rPr>
      </w:pPr>
    </w:p>
    <w:p w14:paraId="3C29CD5A" w14:textId="77777777" w:rsidR="002F6EA5" w:rsidRDefault="002F6EA5" w:rsidP="00417963">
      <w:pPr>
        <w:rPr>
          <w:rFonts w:ascii="Aptos Light" w:hAnsi="Aptos Light"/>
          <w:sz w:val="22"/>
          <w:szCs w:val="22"/>
          <w:lang w:eastAsia="en-GB"/>
        </w:rPr>
      </w:pPr>
      <w:r w:rsidRPr="00417963">
        <w:rPr>
          <w:rFonts w:ascii="Aptos Light" w:hAnsi="Aptos Light"/>
          <w:sz w:val="22"/>
          <w:szCs w:val="22"/>
          <w:lang w:eastAsia="en-GB"/>
        </w:rPr>
        <w:t>Across the exhibitions, there was clear evidence of ambition, experimentation, and critical engagement with pressing issues such as sustainability, identity, and place. The standard of craftsmanship was equally strong, revealing both technical mastery and creative risk-taking. The curatorial team’s sensitivity in presenting these varied approaches ensured that individual voices were heard while contributing to a cohesive overall narrative.</w:t>
      </w:r>
    </w:p>
    <w:p w14:paraId="3BB73107" w14:textId="77777777" w:rsidR="00893BDC" w:rsidRPr="00417963" w:rsidRDefault="00893BDC" w:rsidP="00417963">
      <w:pPr>
        <w:rPr>
          <w:rFonts w:ascii="Aptos Light" w:hAnsi="Aptos Light"/>
          <w:sz w:val="22"/>
          <w:szCs w:val="22"/>
          <w:lang w:eastAsia="en-GB"/>
        </w:rPr>
      </w:pPr>
    </w:p>
    <w:p w14:paraId="73CF390C" w14:textId="158E5821" w:rsidR="00417963" w:rsidRPr="00417963" w:rsidRDefault="002F6EA5" w:rsidP="00417963">
      <w:pPr>
        <w:rPr>
          <w:rFonts w:ascii="Aptos Light" w:hAnsi="Aptos Light"/>
          <w:sz w:val="22"/>
          <w:szCs w:val="22"/>
          <w:lang w:eastAsia="en-GB"/>
        </w:rPr>
      </w:pPr>
      <w:r w:rsidRPr="00417963">
        <w:rPr>
          <w:rFonts w:ascii="Aptos Light" w:hAnsi="Aptos Light"/>
          <w:sz w:val="22"/>
          <w:szCs w:val="22"/>
          <w:lang w:eastAsia="en-GB"/>
        </w:rPr>
        <w:t>BCB 2025 continues to affirm the Biennial’s position as the UK’s leading celebration of ceramics. Its commitment to artistic excellence, innovation, and inclusivity makes it an essential part of the national and international ceramics calendar.</w:t>
      </w:r>
      <w:r w:rsidR="00417963" w:rsidRPr="00417963">
        <w:rPr>
          <w:rFonts w:ascii="Aptos Light" w:hAnsi="Aptos Light"/>
          <w:sz w:val="22"/>
          <w:szCs w:val="22"/>
          <w:lang w:eastAsia="en-GB"/>
        </w:rPr>
        <w:t xml:space="preserve"> </w:t>
      </w:r>
      <w:r w:rsidR="00417963" w:rsidRPr="00417963">
        <w:rPr>
          <w:rFonts w:ascii="Aptos Light" w:hAnsi="Aptos Light"/>
          <w:sz w:val="22"/>
          <w:szCs w:val="22"/>
        </w:rPr>
        <w:t xml:space="preserve">The festival not only reflects the state of the field but actively shapes its future—supporting makers, challenging perceptions, and expanding the cultural significance of clay </w:t>
      </w:r>
      <w:r w:rsidR="005C517F">
        <w:rPr>
          <w:rFonts w:ascii="Aptos Light" w:hAnsi="Aptos Light"/>
          <w:sz w:val="22"/>
          <w:szCs w:val="22"/>
        </w:rPr>
        <w:t xml:space="preserve">locally, </w:t>
      </w:r>
      <w:r w:rsidR="00417963" w:rsidRPr="00417963">
        <w:rPr>
          <w:rFonts w:ascii="Aptos Light" w:hAnsi="Aptos Light"/>
          <w:sz w:val="22"/>
          <w:szCs w:val="22"/>
        </w:rPr>
        <w:t>nationally and internationally.</w:t>
      </w:r>
    </w:p>
    <w:p w14:paraId="1C20F197" w14:textId="77777777" w:rsidR="002F6EA5" w:rsidRPr="00417963" w:rsidRDefault="002F6EA5" w:rsidP="00417963">
      <w:pPr>
        <w:rPr>
          <w:rFonts w:ascii="Aptos Light" w:hAnsi="Aptos Light"/>
          <w:sz w:val="22"/>
          <w:szCs w:val="22"/>
          <w:lang w:eastAsia="en-GB"/>
        </w:rPr>
      </w:pPr>
    </w:p>
    <w:p w14:paraId="71AD3F4D" w14:textId="77777777" w:rsidR="00A31535" w:rsidRPr="00417963" w:rsidRDefault="00A31535" w:rsidP="00417963">
      <w:pPr>
        <w:rPr>
          <w:rFonts w:ascii="Aptos Light" w:hAnsi="Aptos Light"/>
          <w:sz w:val="22"/>
          <w:szCs w:val="22"/>
          <w:lang w:eastAsia="en-GB"/>
        </w:rPr>
      </w:pPr>
    </w:p>
    <w:p w14:paraId="0B27C379" w14:textId="77777777" w:rsidR="00A31535" w:rsidRPr="00417963" w:rsidRDefault="00A31535" w:rsidP="00417963">
      <w:pPr>
        <w:rPr>
          <w:rFonts w:ascii="Aptos Light" w:hAnsi="Aptos Light"/>
          <w:sz w:val="22"/>
          <w:szCs w:val="22"/>
          <w:lang w:eastAsia="en-GB"/>
        </w:rPr>
      </w:pPr>
    </w:p>
    <w:p w14:paraId="55A49D36" w14:textId="77777777" w:rsidR="00A31535" w:rsidRPr="00417963" w:rsidRDefault="00A31535" w:rsidP="00417963">
      <w:pPr>
        <w:rPr>
          <w:rFonts w:ascii="Aptos Light" w:hAnsi="Aptos Light"/>
          <w:sz w:val="22"/>
          <w:szCs w:val="22"/>
          <w:lang w:eastAsia="en-GB"/>
        </w:rPr>
      </w:pPr>
    </w:p>
    <w:p w14:paraId="4268518B" w14:textId="77777777" w:rsidR="007125B8" w:rsidRPr="00417963" w:rsidRDefault="007125B8" w:rsidP="00417963">
      <w:pPr>
        <w:rPr>
          <w:rFonts w:ascii="Aptos Light" w:hAnsi="Aptos Light"/>
          <w:sz w:val="22"/>
          <w:szCs w:val="22"/>
        </w:rPr>
      </w:pPr>
    </w:p>
    <w:sectPr w:rsidR="007125B8" w:rsidRPr="00417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E06"/>
    <w:multiLevelType w:val="hybridMultilevel"/>
    <w:tmpl w:val="4AF4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C6279"/>
    <w:multiLevelType w:val="multilevel"/>
    <w:tmpl w:val="EFD6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51816"/>
    <w:multiLevelType w:val="multilevel"/>
    <w:tmpl w:val="821A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14180"/>
    <w:multiLevelType w:val="hybridMultilevel"/>
    <w:tmpl w:val="4AF4E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3467865">
    <w:abstractNumId w:val="2"/>
  </w:num>
  <w:num w:numId="2" w16cid:durableId="766927760">
    <w:abstractNumId w:val="1"/>
  </w:num>
  <w:num w:numId="3" w16cid:durableId="1895117151">
    <w:abstractNumId w:val="0"/>
  </w:num>
  <w:num w:numId="4" w16cid:durableId="2116897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5"/>
    <w:rsid w:val="000359FF"/>
    <w:rsid w:val="000808CB"/>
    <w:rsid w:val="000931B2"/>
    <w:rsid w:val="001754A6"/>
    <w:rsid w:val="002D2179"/>
    <w:rsid w:val="002E22F2"/>
    <w:rsid w:val="002F589E"/>
    <w:rsid w:val="002F683F"/>
    <w:rsid w:val="002F6EA5"/>
    <w:rsid w:val="00384C59"/>
    <w:rsid w:val="00417963"/>
    <w:rsid w:val="004F08FB"/>
    <w:rsid w:val="004F31FF"/>
    <w:rsid w:val="005C517F"/>
    <w:rsid w:val="00681002"/>
    <w:rsid w:val="006A033B"/>
    <w:rsid w:val="007125B8"/>
    <w:rsid w:val="007A5673"/>
    <w:rsid w:val="00893BDC"/>
    <w:rsid w:val="00964FAB"/>
    <w:rsid w:val="00A31535"/>
    <w:rsid w:val="00AC2539"/>
    <w:rsid w:val="00BA45F8"/>
    <w:rsid w:val="00C9432C"/>
    <w:rsid w:val="00CF33F2"/>
    <w:rsid w:val="00F62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564A"/>
  <w15:chartTrackingRefBased/>
  <w15:docId w15:val="{A9EB3661-970B-0345-A228-029697A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1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31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5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5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5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5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1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31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535"/>
    <w:rPr>
      <w:rFonts w:eastAsiaTheme="majorEastAsia" w:cstheme="majorBidi"/>
      <w:color w:val="272727" w:themeColor="text1" w:themeTint="D8"/>
    </w:rPr>
  </w:style>
  <w:style w:type="paragraph" w:styleId="Title">
    <w:name w:val="Title"/>
    <w:basedOn w:val="Normal"/>
    <w:next w:val="Normal"/>
    <w:link w:val="TitleChar"/>
    <w:uiPriority w:val="10"/>
    <w:qFormat/>
    <w:rsid w:val="00A315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5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5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1535"/>
    <w:rPr>
      <w:i/>
      <w:iCs/>
      <w:color w:val="404040" w:themeColor="text1" w:themeTint="BF"/>
    </w:rPr>
  </w:style>
  <w:style w:type="paragraph" w:styleId="ListParagraph">
    <w:name w:val="List Paragraph"/>
    <w:basedOn w:val="Normal"/>
    <w:uiPriority w:val="34"/>
    <w:qFormat/>
    <w:rsid w:val="00A31535"/>
    <w:pPr>
      <w:ind w:left="720"/>
      <w:contextualSpacing/>
    </w:pPr>
  </w:style>
  <w:style w:type="character" w:styleId="IntenseEmphasis">
    <w:name w:val="Intense Emphasis"/>
    <w:basedOn w:val="DefaultParagraphFont"/>
    <w:uiPriority w:val="21"/>
    <w:qFormat/>
    <w:rsid w:val="00A31535"/>
    <w:rPr>
      <w:i/>
      <w:iCs/>
      <w:color w:val="0F4761" w:themeColor="accent1" w:themeShade="BF"/>
    </w:rPr>
  </w:style>
  <w:style w:type="paragraph" w:styleId="IntenseQuote">
    <w:name w:val="Intense Quote"/>
    <w:basedOn w:val="Normal"/>
    <w:next w:val="Normal"/>
    <w:link w:val="IntenseQuoteChar"/>
    <w:uiPriority w:val="30"/>
    <w:qFormat/>
    <w:rsid w:val="00A31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535"/>
    <w:rPr>
      <w:i/>
      <w:iCs/>
      <w:color w:val="0F4761" w:themeColor="accent1" w:themeShade="BF"/>
    </w:rPr>
  </w:style>
  <w:style w:type="character" w:styleId="IntenseReference">
    <w:name w:val="Intense Reference"/>
    <w:basedOn w:val="DefaultParagraphFont"/>
    <w:uiPriority w:val="32"/>
    <w:qFormat/>
    <w:rsid w:val="00A31535"/>
    <w:rPr>
      <w:b/>
      <w:bCs/>
      <w:smallCaps/>
      <w:color w:val="0F4761" w:themeColor="accent1" w:themeShade="BF"/>
      <w:spacing w:val="5"/>
    </w:rPr>
  </w:style>
  <w:style w:type="character" w:styleId="Strong">
    <w:name w:val="Strong"/>
    <w:basedOn w:val="DefaultParagraphFont"/>
    <w:uiPriority w:val="22"/>
    <w:qFormat/>
    <w:rsid w:val="00A31535"/>
    <w:rPr>
      <w:b/>
      <w:bCs/>
    </w:rPr>
  </w:style>
  <w:style w:type="paragraph" w:styleId="NormalWeb">
    <w:name w:val="Normal (Web)"/>
    <w:basedOn w:val="Normal"/>
    <w:uiPriority w:val="99"/>
    <w:semiHidden/>
    <w:unhideWhenUsed/>
    <w:rsid w:val="00A3153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31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Katy</dc:creator>
  <cp:keywords/>
  <dc:description/>
  <cp:lastModifiedBy>West, Katy</cp:lastModifiedBy>
  <cp:revision>3</cp:revision>
  <dcterms:created xsi:type="dcterms:W3CDTF">2025-11-05T12:16:00Z</dcterms:created>
  <dcterms:modified xsi:type="dcterms:W3CDTF">2025-11-05T12:17:00Z</dcterms:modified>
</cp:coreProperties>
</file>